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12 -->
  <w:body>
    <w:p w:rsidR="008D5009" w:rsidP="008D5009">
      <w:pPr>
        <w:pStyle w:val="ChapterTitle"/>
        <w:spacing w:before="0" w:after="0"/>
      </w:pPr>
      <w:r>
        <w:rPr>
          <w:noProof/>
        </w:rPr>
        <w:t>OPERATIONAL PROGRAMME UNDER THE 'INVESTMENT FOR GROWTH AND JOBS' GOAL</w:t>
      </w:r>
    </w:p>
    <w:p w:rsidR="00C87003" w:rsidRPr="00C87003" w:rsidP="00C87003"/>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09"/>
        <w:gridCol w:w="719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22"/>
        </w:trPr>
        <w:tc>
          <w:tcPr>
            <w:shd w:val="clear" w:color="auto" w:fill="auto"/>
          </w:tcPr>
          <w:p w:rsidR="008D5009" w:rsidRPr="0019232D" w:rsidP="00426349">
            <w:pPr>
              <w:spacing w:before="0" w:after="0"/>
            </w:pPr>
            <w:r w:rsidRPr="0019232D">
              <w:rPr>
                <w:noProof/>
              </w:rPr>
              <w:t>CCI</w:t>
            </w:r>
          </w:p>
        </w:tc>
        <w:tc>
          <w:tcPr>
            <w:shd w:val="clear" w:color="auto" w:fill="auto"/>
          </w:tcPr>
          <w:p w:rsidR="008D5009" w:rsidRPr="0019232D" w:rsidP="00426349">
            <w:pPr>
              <w:spacing w:before="0" w:after="0"/>
              <w:rPr>
                <w:color w:val="000000"/>
              </w:rPr>
            </w:pPr>
            <w:r w:rsidRPr="0019232D">
              <w:rPr>
                <w:noProof/>
                <w:color w:val="000000"/>
              </w:rPr>
              <w:t>2014RO16RFOP001</w:t>
            </w:r>
          </w:p>
        </w:tc>
      </w:tr>
      <w:tr w:rsidTr="00426349">
        <w:tblPrEx>
          <w:tblW w:w="5000" w:type="pct"/>
          <w:tblLook w:val="04A0"/>
        </w:tblPrEx>
        <w:trPr>
          <w:trHeight w:val="269"/>
        </w:trPr>
        <w:tc>
          <w:tcPr>
            <w:shd w:val="clear" w:color="auto" w:fill="auto"/>
          </w:tcPr>
          <w:p w:rsidR="008D5009" w:rsidRPr="0019232D" w:rsidP="00426349">
            <w:pPr>
              <w:spacing w:before="0" w:after="0"/>
              <w:rPr>
                <w:lang w:val="pt-PT"/>
              </w:rPr>
            </w:pPr>
            <w:r w:rsidRPr="0019232D">
              <w:rPr>
                <w:noProof/>
                <w:lang w:val="pt-PT"/>
              </w:rPr>
              <w:t>Title</w:t>
            </w:r>
          </w:p>
        </w:tc>
        <w:tc>
          <w:tcPr>
            <w:shd w:val="clear" w:color="auto" w:fill="auto"/>
          </w:tcPr>
          <w:p w:rsidR="008D5009" w:rsidRPr="0019232D" w:rsidP="00426349">
            <w:pPr>
              <w:spacing w:before="0" w:after="0"/>
              <w:rPr>
                <w:color w:val="000000"/>
              </w:rPr>
            </w:pPr>
            <w:r>
              <w:rPr>
                <w:noProof/>
                <w:color w:val="000000"/>
              </w:rPr>
              <w:t>Program Operational Competitivitate</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rPr>
              <w:t>Version</w:t>
            </w:r>
          </w:p>
        </w:tc>
        <w:tc>
          <w:tcPr>
            <w:shd w:val="clear" w:color="auto" w:fill="auto"/>
          </w:tcPr>
          <w:p w:rsidR="008D5009" w:rsidRPr="0019232D" w:rsidP="00426349">
            <w:pPr>
              <w:spacing w:before="0" w:after="0"/>
              <w:rPr>
                <w:color w:val="000000"/>
              </w:rPr>
            </w:pPr>
            <w:r w:rsidRPr="0019232D">
              <w:rPr>
                <w:noProof/>
                <w:color w:val="000000"/>
              </w:rPr>
              <w:t>6.2</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First year</w:t>
            </w:r>
          </w:p>
        </w:tc>
        <w:tc>
          <w:tcPr>
            <w:shd w:val="clear" w:color="auto" w:fill="auto"/>
          </w:tcPr>
          <w:p w:rsidR="008D5009" w:rsidRPr="0019232D" w:rsidP="00426349">
            <w:pPr>
              <w:spacing w:before="0" w:after="0"/>
              <w:rPr>
                <w:color w:val="000000"/>
              </w:rPr>
            </w:pPr>
            <w:r w:rsidRPr="0019232D">
              <w:rPr>
                <w:noProof/>
                <w:color w:val="000000"/>
              </w:rPr>
              <w:t>2014</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Last year</w:t>
            </w:r>
          </w:p>
        </w:tc>
        <w:tc>
          <w:tcPr>
            <w:shd w:val="clear" w:color="auto" w:fill="auto"/>
          </w:tcPr>
          <w:p w:rsidR="008D5009" w:rsidRPr="0019232D" w:rsidP="00426349">
            <w:pPr>
              <w:spacing w:before="0" w:after="0"/>
              <w:rPr>
                <w:color w:val="000000"/>
              </w:rPr>
            </w:pPr>
            <w:r w:rsidRPr="0019232D">
              <w:rPr>
                <w:noProof/>
                <w:color w:val="000000"/>
              </w:rPr>
              <w:t>2020</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Eligible from</w:t>
            </w:r>
            <w:r w:rsidRPr="0019232D">
              <w:rPr>
                <w:color w:val="000000"/>
              </w:rPr>
              <w:t xml:space="preserve">  </w:t>
            </w:r>
          </w:p>
        </w:tc>
        <w:tc>
          <w:tcPr>
            <w:shd w:val="clear" w:color="auto" w:fill="auto"/>
          </w:tcPr>
          <w:p w:rsidR="008D5009" w:rsidRPr="0019232D" w:rsidP="00426349">
            <w:pPr>
              <w:spacing w:before="0" w:after="0"/>
              <w:rPr>
                <w:color w:val="000000"/>
              </w:rPr>
            </w:pPr>
            <w:r w:rsidRPr="0019232D">
              <w:rPr>
                <w:noProof/>
                <w:color w:val="000000"/>
              </w:rPr>
              <w:t>01-Jan-2014</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Eligible until</w:t>
            </w:r>
          </w:p>
        </w:tc>
        <w:tc>
          <w:tcPr>
            <w:shd w:val="clear" w:color="auto" w:fill="auto"/>
          </w:tcPr>
          <w:p w:rsidR="008D5009" w:rsidRPr="0019232D" w:rsidP="00426349">
            <w:pPr>
              <w:spacing w:before="0" w:after="0"/>
              <w:rPr>
                <w:color w:val="000000"/>
              </w:rPr>
            </w:pPr>
            <w:r w:rsidRPr="0019232D">
              <w:rPr>
                <w:noProof/>
                <w:color w:val="000000"/>
              </w:rPr>
              <w:t>31-Dec-2023</w:t>
            </w:r>
          </w:p>
        </w:tc>
      </w:tr>
      <w:tr w:rsidTr="00426349">
        <w:tblPrEx>
          <w:tblW w:w="5000" w:type="pct"/>
          <w:tblLook w:val="04A0"/>
        </w:tblPrEx>
        <w:trPr>
          <w:trHeight w:val="138"/>
        </w:trPr>
        <w:tc>
          <w:tcPr>
            <w:shd w:val="clear" w:color="auto" w:fill="auto"/>
          </w:tcPr>
          <w:p w:rsidR="008D5009" w:rsidRPr="0019232D" w:rsidP="00426349">
            <w:pPr>
              <w:spacing w:before="0" w:after="0"/>
              <w:rPr>
                <w:color w:val="000000"/>
              </w:rPr>
            </w:pPr>
            <w:r>
              <w:rPr>
                <w:noProof/>
                <w:color w:val="000000"/>
              </w:rPr>
              <w:t>Making use of Art. 96(8) CPR</w:t>
            </w:r>
          </w:p>
        </w:tc>
        <w:tc>
          <w:tcPr>
            <w:shd w:val="clear" w:color="auto" w:fill="auto"/>
          </w:tcPr>
          <w:p w:rsidR="008D5009" w:rsidRPr="0063292B" w:rsidP="00426349">
            <w:pPr>
              <w:autoSpaceDE w:val="0"/>
              <w:autoSpaceDN w:val="0"/>
              <w:adjustRightInd w:val="0"/>
              <w:spacing w:before="0" w:after="0"/>
              <w:rPr>
                <w:rFonts w:ascii="MS Shell Dlg 2" w:hAnsi="MS Shell Dlg 2" w:cs="MS Shell Dlg 2"/>
                <w:sz w:val="17"/>
                <w:szCs w:val="17"/>
                <w:lang w:val="en-US"/>
              </w:rPr>
            </w:pPr>
          </w:p>
        </w:tc>
      </w:tr>
      <w:tr w:rsidTr="00426349">
        <w:tblPrEx>
          <w:tblW w:w="5000" w:type="pct"/>
          <w:tblLook w:val="04A0"/>
        </w:tblPrEx>
        <w:trPr>
          <w:trHeight w:val="138"/>
        </w:trPr>
        <w:tc>
          <w:tcPr>
            <w:shd w:val="clear" w:color="auto" w:fill="auto"/>
          </w:tcPr>
          <w:p w:rsidR="008D5009" w:rsidRPr="0019232D" w:rsidP="00426349">
            <w:pPr>
              <w:spacing w:before="0" w:after="0"/>
              <w:rPr>
                <w:color w:val="000000"/>
              </w:rPr>
            </w:pPr>
            <w:r>
              <w:rPr>
                <w:noProof/>
                <w:color w:val="000000"/>
              </w:rPr>
              <w:t>Major amendment (requiring EC approval - cf. Art. 96 CPR)</w:t>
            </w:r>
          </w:p>
        </w:tc>
        <w:tc>
          <w:tcPr>
            <w:shd w:val="clear" w:color="auto" w:fill="auto"/>
          </w:tcPr>
          <w:p w:rsidR="008D5009" w:rsidRPr="0063292B" w:rsidP="00426349">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Tr="00426349">
        <w:tblPrEx>
          <w:tblW w:w="5000" w:type="pct"/>
          <w:tblLook w:val="04A0"/>
        </w:tblPrEx>
        <w:trPr>
          <w:trHeight w:val="138"/>
        </w:trPr>
        <w:tc>
          <w:tcPr>
            <w:shd w:val="clear" w:color="auto" w:fill="auto"/>
          </w:tcPr>
          <w:p w:rsidR="008D5009" w:rsidRPr="0019232D" w:rsidP="00426349">
            <w:pPr>
              <w:spacing w:before="0" w:after="0"/>
              <w:rPr>
                <w:color w:val="000000"/>
              </w:rPr>
            </w:pPr>
            <w:r>
              <w:rPr>
                <w:noProof/>
                <w:color w:val="000000"/>
              </w:rPr>
              <w:t>Approved by monitoring committee</w:t>
            </w:r>
          </w:p>
        </w:tc>
        <w:tc>
          <w:tcPr>
            <w:shd w:val="clear" w:color="auto" w:fill="auto"/>
          </w:tcPr>
          <w:p w:rsidR="008D5009" w:rsidRPr="0063292B" w:rsidP="00426349">
            <w:pPr>
              <w:autoSpaceDE w:val="0"/>
              <w:autoSpaceDN w:val="0"/>
              <w:adjustRightInd w:val="0"/>
              <w:spacing w:before="0" w:after="0"/>
              <w:rPr>
                <w:rFonts w:ascii="MS Shell Dlg 2" w:hAnsi="MS Shell Dlg 2" w:cs="MS Shell Dlg 2"/>
                <w:sz w:val="17"/>
                <w:szCs w:val="17"/>
                <w:lang w:val="en-US"/>
              </w:rPr>
            </w:pPr>
            <w:r>
              <w:rPr>
                <w:rFonts w:ascii="Wingdings" w:hAnsi="Wingdings" w:cs="Wingdings"/>
                <w:sz w:val="26"/>
                <w:szCs w:val="26"/>
                <w:lang w:val="en-US"/>
              </w:rPr>
              <w:sym w:font="Wingdings" w:char="F0FC"/>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Justification for amendment</w:t>
            </w:r>
          </w:p>
        </w:tc>
        <w:tc>
          <w:tcPr>
            <w:shd w:val="clear" w:color="auto" w:fill="auto"/>
          </w:tcPr>
          <w:p w:rsidR="008D5009" w:rsidRPr="0019232D" w:rsidP="00426349">
            <w:pPr>
              <w:spacing w:before="0" w:after="0"/>
              <w:rPr>
                <w:color w:val="000000"/>
              </w:rPr>
            </w:pPr>
            <w:r>
              <w:rPr>
                <w:noProof/>
                <w:color w:val="000000"/>
              </w:rPr>
              <w:t>Modificări ale POC 2014-2020, conform deciziei CM POC nr. 39/2020 și 40/2020:</w:t>
            </w:r>
          </w:p>
          <w:p w:rsidR="008D5009" w:rsidP="00426349">
            <w:pPr>
              <w:spacing w:before="0" w:after="0"/>
              <w:rPr>
                <w:color w:val="000000"/>
              </w:rPr>
            </w:pPr>
            <w:r>
              <w:rPr>
                <w:noProof/>
                <w:color w:val="000000"/>
              </w:rPr>
              <w:t>1. Crearea Axei Prioritare 3, dedicată susținerii activității IMM-urilor in contextul crizei economice generate de pandemia COVID-19;</w:t>
            </w:r>
          </w:p>
          <w:p w:rsidR="008D5009" w:rsidP="00426349">
            <w:pPr>
              <w:spacing w:before="0" w:after="0"/>
              <w:rPr>
                <w:color w:val="000000"/>
              </w:rPr>
            </w:pPr>
            <w:r>
              <w:rPr>
                <w:noProof/>
                <w:color w:val="000000"/>
              </w:rPr>
              <w:t>2. Introducerea Acțiunii 2.2.2 în cadrul  Axei Prioritare 1 cu scopul de a finanța digitalizarea întreprinderilor;</w:t>
            </w:r>
          </w:p>
          <w:p w:rsidR="008D5009" w:rsidP="00426349">
            <w:pPr>
              <w:spacing w:before="0" w:after="0"/>
              <w:rPr>
                <w:color w:val="000000"/>
              </w:rPr>
            </w:pPr>
            <w:r>
              <w:rPr>
                <w:noProof/>
                <w:color w:val="000000"/>
              </w:rPr>
              <w:t>3. Amendarea Axei Prioritare 1 prin Introducerea în cadrul Acțiunii 1.2.3: Parteneriate pentru transfer de cunoștințe (Knowledge Transfer Partnerships) și  în cadrul Acțiunii 1.1.1: Mari infrastructuri de CD  a posibilității aplicării în selecția operațiunilor a mecanismului competitiv, cât și introducerea celui non competitiv, cu respectarea legislației naționale și europene în vigoare.</w:t>
            </w:r>
          </w:p>
          <w:p w:rsidR="008D5009" w:rsidP="00426349">
            <w:pPr>
              <w:spacing w:before="0" w:after="0"/>
              <w:rPr>
                <w:color w:val="000000"/>
              </w:rPr>
            </w:pPr>
            <w:r>
              <w:rPr>
                <w:noProof/>
                <w:color w:val="000000"/>
              </w:rPr>
              <w:t>4.Introducerea unor noi tipuri de beneficiari în cadrul Acțiunii 2.3.3. Îmbunătățirea conținutului digital și a infrastructurii TIC sistemice în domeniul e-educație, e-sănătate și e-cultură, secțiunea e-educație, Axa Prioritară 2 precum si introducerea unui nou indicator de realizare</w:t>
            </w:r>
          </w:p>
          <w:p w:rsidR="008D5009" w:rsidP="00426349">
            <w:pPr>
              <w:spacing w:before="0" w:after="0"/>
              <w:rPr>
                <w:color w:val="000000"/>
              </w:rPr>
            </w:pP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EC decision number</w:t>
            </w:r>
          </w:p>
        </w:tc>
        <w:tc>
          <w:tcPr>
            <w:shd w:val="clear" w:color="auto" w:fill="auto"/>
          </w:tcPr>
          <w:p w:rsidR="008D5009" w:rsidRPr="0019232D" w:rsidP="00426349">
            <w:pPr>
              <w:spacing w:before="0" w:after="0"/>
              <w:rPr>
                <w:color w:val="000000"/>
              </w:rPr>
            </w:pP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EC decision date</w:t>
            </w:r>
          </w:p>
        </w:tc>
        <w:tc>
          <w:tcPr>
            <w:shd w:val="clear" w:color="auto" w:fill="auto"/>
          </w:tcPr>
          <w:p w:rsidR="008D5009" w:rsidRPr="0019232D" w:rsidP="00426349">
            <w:pPr>
              <w:spacing w:before="0" w:after="0"/>
              <w:rPr>
                <w:color w:val="000000"/>
              </w:rPr>
            </w:pP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MS amending decision number</w:t>
            </w:r>
          </w:p>
        </w:tc>
        <w:tc>
          <w:tcPr>
            <w:shd w:val="clear" w:color="auto" w:fill="auto"/>
          </w:tcPr>
          <w:p w:rsidR="008D5009" w:rsidRPr="0019232D" w:rsidP="00426349">
            <w:pPr>
              <w:spacing w:before="0" w:after="0"/>
              <w:rPr>
                <w:color w:val="000000"/>
              </w:rPr>
            </w:pPr>
            <w:r w:rsidRPr="0019232D">
              <w:rPr>
                <w:noProof/>
                <w:color w:val="000000"/>
              </w:rPr>
              <w:t>nr.39/2020, 40/2020, 41/2020</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MS amending decision date</w:t>
            </w:r>
          </w:p>
        </w:tc>
        <w:tc>
          <w:tcPr>
            <w:shd w:val="clear" w:color="auto" w:fill="auto"/>
          </w:tcPr>
          <w:p w:rsidR="008D5009" w:rsidRPr="0019232D" w:rsidP="00426349">
            <w:pPr>
              <w:spacing w:before="0" w:after="0"/>
              <w:rPr>
                <w:color w:val="000000"/>
              </w:rPr>
            </w:pPr>
            <w:r w:rsidRPr="0019232D">
              <w:rPr>
                <w:noProof/>
                <w:color w:val="000000"/>
              </w:rPr>
              <w:t>04-Aug-2020</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MS amending decision entry into force date</w:t>
            </w:r>
          </w:p>
        </w:tc>
        <w:tc>
          <w:tcPr>
            <w:shd w:val="clear" w:color="auto" w:fill="auto"/>
          </w:tcPr>
          <w:p w:rsidR="008D5009" w:rsidRPr="0019232D" w:rsidP="00426349">
            <w:pPr>
              <w:spacing w:before="0" w:after="0"/>
              <w:rPr>
                <w:color w:val="000000"/>
              </w:rPr>
            </w:pPr>
            <w:r w:rsidRPr="0019232D">
              <w:rPr>
                <w:noProof/>
                <w:color w:val="000000"/>
              </w:rPr>
              <w:t>04-Aug-2020</w:t>
            </w:r>
          </w:p>
        </w:tc>
      </w:tr>
      <w:tr w:rsidTr="00426349">
        <w:tblPrEx>
          <w:tblW w:w="5000" w:type="pct"/>
          <w:tblLook w:val="04A0"/>
        </w:tblPrEx>
        <w:trPr>
          <w:trHeight w:val="138"/>
        </w:trPr>
        <w:tc>
          <w:tcPr>
            <w:shd w:val="clear" w:color="auto" w:fill="auto"/>
          </w:tcPr>
          <w:p w:rsidR="008D5009" w:rsidRPr="0019232D" w:rsidP="00426349">
            <w:pPr>
              <w:spacing w:before="0" w:after="0"/>
            </w:pPr>
            <w:r w:rsidRPr="0019232D">
              <w:rPr>
                <w:noProof/>
                <w:color w:val="000000"/>
              </w:rPr>
              <w:t>NUTS regions covered by the operational programme</w:t>
            </w:r>
          </w:p>
        </w:tc>
        <w:tc>
          <w:tcPr>
            <w:shd w:val="clear" w:color="auto" w:fill="auto"/>
          </w:tcPr>
          <w:p w:rsidR="008D5009" w:rsidRPr="0019232D" w:rsidP="00426349">
            <w:pPr>
              <w:spacing w:before="0" w:after="0"/>
            </w:pPr>
            <w:r w:rsidRPr="0019232D">
              <w:rPr>
                <w:noProof/>
              </w:rPr>
              <w:t>RO</w:t>
            </w:r>
            <w:r w:rsidRPr="0019232D">
              <w:t xml:space="preserve"> - </w:t>
            </w:r>
            <w:r w:rsidRPr="0019232D">
              <w:rPr>
                <w:noProof/>
              </w:rPr>
              <w:t>ROMÂNIA</w:t>
            </w:r>
          </w:p>
        </w:tc>
      </w:tr>
    </w:tbl>
    <w:p w:rsidR="00903D75" w:rsidP="00903D75">
      <w:bookmarkStart w:id="0" w:name="_Toc512434552"/>
      <w:bookmarkEnd w:id="0"/>
    </w:p>
    <w:p w:rsidR="00637642" w:rsidP="00903D75">
      <w:pPr>
        <w:rPr>
          <w:noProof/>
        </w:rPr>
      </w:pPr>
      <w:r w:rsidR="00903D75">
        <w:br w:type="page"/>
      </w:r>
      <w:r w:rsidR="00F00E75">
        <w:fldChar w:fldCharType="begin"/>
      </w:r>
      <w:r w:rsidR="00F00E75">
        <w:instrText xml:space="preserve"> TOC</w:instrText>
      </w:r>
      <w:r w:rsidR="00903533">
        <w:instrText xml:space="preserve"> \h</w:instrText>
      </w:r>
      <w:r w:rsidR="00F00E75">
        <w:instrText xml:space="preserve"> </w:instrText>
      </w:r>
      <w:r w:rsidR="00F00E75">
        <w:fldChar w:fldCharType="separate"/>
      </w:r>
    </w:p>
    <w:p>
      <w:pPr>
        <w:pStyle w:val="TOC1"/>
        <w:tabs>
          <w:tab w:val="right" w:leader="dot" w:pos="8613"/>
        </w:tabs>
        <w:rPr>
          <w:rFonts w:ascii="Calibri" w:hAnsi="Calibri"/>
          <w:noProof/>
          <w:sz w:val="22"/>
        </w:rPr>
      </w:pPr>
      <w:hyperlink w:anchor="_Toc256000000" w:history="1">
        <w:r w:rsidRPr="00DD373B">
          <w:rPr>
            <w:rStyle w:val="Hyperlink"/>
            <w:noProof/>
          </w:rPr>
          <w:t>1. STRATEGY FOR THE OPERATIONAL PROGRAMME'S CONTRIBUTION TO THE UNION STRATEGY FOR SMART, SUSTAINABLE AND INCLUSIVE GROWTH AND THE ACHIEVEMENT OF ECONOMIC, SOCIAL AND TERRITORIAL COHESION</w:t>
        </w:r>
        <w:r>
          <w:tab/>
        </w:r>
        <w:r>
          <w:fldChar w:fldCharType="begin"/>
        </w:r>
        <w:r>
          <w:instrText xml:space="preserve"> PAGEREF _Toc256000000 \h </w:instrText>
        </w:r>
        <w:r>
          <w:fldChar w:fldCharType="separate"/>
        </w:r>
        <w:r>
          <w:t>7</w:t>
        </w:r>
        <w:r>
          <w:fldChar w:fldCharType="end"/>
        </w:r>
      </w:hyperlink>
    </w:p>
    <w:p>
      <w:pPr>
        <w:pStyle w:val="TOC2"/>
        <w:tabs>
          <w:tab w:val="right" w:leader="dot" w:pos="8613"/>
        </w:tabs>
        <w:rPr>
          <w:rFonts w:ascii="Calibri" w:hAnsi="Calibri"/>
          <w:noProof/>
          <w:sz w:val="22"/>
        </w:rPr>
      </w:pPr>
      <w:hyperlink w:anchor="_Toc256000001" w:history="1">
        <w:r w:rsidRPr="00CC36B2">
          <w:rPr>
            <w:rStyle w:val="Hyperlink"/>
            <w:noProof/>
          </w:rPr>
          <w:t>1.1 Strategy for the operational programme's contribution to the Union strategy for smart, sustainable and inclusive growth and to the achievement of economic, social and territorial cohesion</w:t>
        </w:r>
        <w:r>
          <w:tab/>
        </w:r>
        <w:r>
          <w:fldChar w:fldCharType="begin"/>
        </w:r>
        <w:r>
          <w:instrText xml:space="preserve"> PAGEREF _Toc256000001 \h </w:instrText>
        </w:r>
        <w:r>
          <w:fldChar w:fldCharType="separate"/>
        </w:r>
        <w:r>
          <w:t>7</w:t>
        </w:r>
        <w:r>
          <w:fldChar w:fldCharType="end"/>
        </w:r>
      </w:hyperlink>
    </w:p>
    <w:p>
      <w:pPr>
        <w:pStyle w:val="TOC2"/>
        <w:tabs>
          <w:tab w:val="right" w:leader="dot" w:pos="8613"/>
        </w:tabs>
        <w:rPr>
          <w:rFonts w:ascii="Calibri" w:hAnsi="Calibri"/>
          <w:noProof/>
          <w:sz w:val="22"/>
        </w:rPr>
      </w:pPr>
      <w:hyperlink w:anchor="_Toc256000002" w:history="1">
        <w:r w:rsidRPr="000F5CC0">
          <w:rPr>
            <w:rStyle w:val="Hyperlink"/>
            <w:noProof/>
            <w:lang w:eastAsia="fr-BE"/>
          </w:rPr>
          <w:t>1.2 Justification for the financial allocation</w:t>
        </w:r>
        <w:r>
          <w:tab/>
        </w:r>
        <w:r>
          <w:fldChar w:fldCharType="begin"/>
        </w:r>
        <w:r>
          <w:instrText xml:space="preserve"> PAGEREF _Toc256000002 \h </w:instrText>
        </w:r>
        <w:r>
          <w:fldChar w:fldCharType="separate"/>
        </w:r>
        <w:r>
          <w:t>31</w:t>
        </w:r>
        <w:r>
          <w:fldChar w:fldCharType="end"/>
        </w:r>
      </w:hyperlink>
    </w:p>
    <w:p>
      <w:pPr>
        <w:pStyle w:val="TOC1"/>
        <w:tabs>
          <w:tab w:val="right" w:leader="dot" w:pos="8613"/>
        </w:tabs>
        <w:rPr>
          <w:rFonts w:ascii="Calibri" w:hAnsi="Calibri"/>
          <w:noProof/>
          <w:sz w:val="22"/>
        </w:rPr>
      </w:pPr>
      <w:hyperlink w:anchor="_Toc256000003" w:history="1">
        <w:r w:rsidRPr="00F51FE9">
          <w:rPr>
            <w:rStyle w:val="Hyperlink"/>
            <w:noProof/>
            <w:lang w:val="fr-BE"/>
          </w:rPr>
          <w:t>2. PRIORITY AXES</w:t>
        </w:r>
        <w:r>
          <w:tab/>
        </w:r>
        <w:r>
          <w:fldChar w:fldCharType="begin"/>
        </w:r>
        <w:r>
          <w:instrText xml:space="preserve"> PAGEREF _Toc256000003 \h </w:instrText>
        </w:r>
        <w:r>
          <w:fldChar w:fldCharType="separate"/>
        </w:r>
        <w:r>
          <w:t>35</w:t>
        </w:r>
        <w:r>
          <w:fldChar w:fldCharType="end"/>
        </w:r>
      </w:hyperlink>
    </w:p>
    <w:p>
      <w:pPr>
        <w:pStyle w:val="TOC1"/>
        <w:tabs>
          <w:tab w:val="right" w:leader="dot" w:pos="8613"/>
        </w:tabs>
        <w:rPr>
          <w:rFonts w:ascii="Calibri" w:hAnsi="Calibri"/>
          <w:noProof/>
          <w:sz w:val="22"/>
        </w:rPr>
      </w:pPr>
      <w:hyperlink w:anchor="_Toc256000004" w:history="1">
        <w:r w:rsidRPr="009F202D">
          <w:rPr>
            <w:rStyle w:val="Hyperlink"/>
            <w:noProof/>
            <w:lang w:val="fr-BE"/>
          </w:rPr>
          <w:t>2.A Description of the priority axes other than technical assistance</w:t>
        </w:r>
        <w:r>
          <w:tab/>
        </w:r>
        <w:r>
          <w:fldChar w:fldCharType="begin"/>
        </w:r>
        <w:r>
          <w:instrText xml:space="preserve"> PAGEREF _Toc256000004 \h </w:instrText>
        </w:r>
        <w:r>
          <w:fldChar w:fldCharType="separate"/>
        </w:r>
        <w:r>
          <w:t>35</w:t>
        </w:r>
        <w:r>
          <w:fldChar w:fldCharType="end"/>
        </w:r>
      </w:hyperlink>
    </w:p>
    <w:p>
      <w:pPr>
        <w:pStyle w:val="TOC2"/>
        <w:tabs>
          <w:tab w:val="right" w:leader="dot" w:pos="8613"/>
        </w:tabs>
        <w:rPr>
          <w:rFonts w:ascii="Calibri" w:hAnsi="Calibri"/>
          <w:noProof/>
          <w:sz w:val="22"/>
        </w:rPr>
      </w:pPr>
      <w:hyperlink w:anchor="_Toc256000005" w:history="1">
        <w:r w:rsidRPr="009F202D">
          <w:rPr>
            <w:rStyle w:val="Hyperlink"/>
            <w:noProof/>
            <w:lang w:val="fr-BE"/>
          </w:rPr>
          <w:t>2.A.1 Priority axis</w:t>
        </w:r>
        <w:r>
          <w:tab/>
        </w:r>
        <w:r>
          <w:fldChar w:fldCharType="begin"/>
        </w:r>
        <w:r>
          <w:instrText xml:space="preserve"> PAGEREF _Toc256000005 \h </w:instrText>
        </w:r>
        <w:r>
          <w:fldChar w:fldCharType="separate"/>
        </w:r>
        <w:r>
          <w:t>35</w:t>
        </w:r>
        <w:r>
          <w:fldChar w:fldCharType="end"/>
        </w:r>
      </w:hyperlink>
    </w:p>
    <w:p>
      <w:pPr>
        <w:pStyle w:val="TOC2"/>
        <w:tabs>
          <w:tab w:val="right" w:leader="dot" w:pos="8613"/>
        </w:tabs>
        <w:rPr>
          <w:rFonts w:ascii="Calibri" w:hAnsi="Calibri"/>
          <w:noProof/>
          <w:sz w:val="22"/>
        </w:rPr>
      </w:pPr>
      <w:hyperlink w:anchor="_Toc256000007" w:history="1">
        <w:r>
          <w:rPr>
            <w:rStyle w:val="Hyperlink"/>
            <w:noProof/>
          </w:rPr>
          <w:t>2.A.2 Justification for the establishment of a priority axis covering more than one category of region, thematic objective or fund</w:t>
        </w:r>
        <w:r>
          <w:rPr>
            <w:rStyle w:val="Hyperlink"/>
          </w:rPr>
          <w:t xml:space="preserve"> </w:t>
        </w:r>
        <w:r>
          <w:rPr>
            <w:rStyle w:val="Hyperlink"/>
            <w:noProof/>
          </w:rPr>
          <w:t>(where applicable)</w:t>
        </w:r>
        <w:r>
          <w:tab/>
        </w:r>
        <w:r>
          <w:fldChar w:fldCharType="begin"/>
        </w:r>
        <w:r>
          <w:instrText xml:space="preserve"> PAGEREF _Toc256000007 \h </w:instrText>
        </w:r>
        <w:r>
          <w:fldChar w:fldCharType="separate"/>
        </w:r>
        <w:r>
          <w:t>35</w:t>
        </w:r>
        <w:r>
          <w:fldChar w:fldCharType="end"/>
        </w:r>
      </w:hyperlink>
    </w:p>
    <w:p>
      <w:pPr>
        <w:pStyle w:val="TOC2"/>
        <w:tabs>
          <w:tab w:val="right" w:leader="dot" w:pos="8613"/>
        </w:tabs>
        <w:rPr>
          <w:rFonts w:ascii="Calibri" w:hAnsi="Calibri"/>
          <w:noProof/>
          <w:sz w:val="22"/>
        </w:rPr>
      </w:pPr>
      <w:hyperlink w:anchor="_Toc256000008" w:history="1">
        <w:r>
          <w:rPr>
            <w:rStyle w:val="Hyperlink"/>
            <w:noProof/>
          </w:rPr>
          <w:t>2.A.3 Fund, category of region and calculation basis for Union support</w:t>
        </w:r>
        <w:r>
          <w:tab/>
        </w:r>
        <w:r>
          <w:fldChar w:fldCharType="begin"/>
        </w:r>
        <w:r>
          <w:instrText xml:space="preserve"> PAGEREF _Toc256000008 \h </w:instrText>
        </w:r>
        <w:r>
          <w:fldChar w:fldCharType="separate"/>
        </w:r>
        <w:r>
          <w:t>36</w:t>
        </w:r>
        <w:r>
          <w:fldChar w:fldCharType="end"/>
        </w:r>
      </w:hyperlink>
    </w:p>
    <w:p>
      <w:pPr>
        <w:pStyle w:val="TOC2"/>
        <w:tabs>
          <w:tab w:val="right" w:leader="dot" w:pos="8613"/>
        </w:tabs>
        <w:rPr>
          <w:rFonts w:ascii="Calibri" w:hAnsi="Calibri"/>
          <w:noProof/>
          <w:sz w:val="22"/>
        </w:rPr>
      </w:pPr>
      <w:hyperlink w:anchor="_Toc256000009" w:history="1">
        <w:r>
          <w:rPr>
            <w:rStyle w:val="Hyperlink"/>
            <w:noProof/>
          </w:rPr>
          <w:t>2.A.4 Investment priority</w:t>
        </w:r>
        <w:r>
          <w:tab/>
        </w:r>
        <w:r>
          <w:fldChar w:fldCharType="begin"/>
        </w:r>
        <w:r>
          <w:instrText xml:space="preserve"> PAGEREF _Toc256000009 \h </w:instrText>
        </w:r>
        <w:r>
          <w:fldChar w:fldCharType="separate"/>
        </w:r>
        <w:r>
          <w:t>36</w:t>
        </w:r>
        <w:r>
          <w:fldChar w:fldCharType="end"/>
        </w:r>
      </w:hyperlink>
    </w:p>
    <w:p>
      <w:pPr>
        <w:pStyle w:val="TOC2"/>
        <w:tabs>
          <w:tab w:val="right" w:leader="dot" w:pos="8613"/>
        </w:tabs>
        <w:rPr>
          <w:rFonts w:ascii="Calibri" w:hAnsi="Calibri"/>
          <w:noProof/>
          <w:sz w:val="22"/>
        </w:rPr>
      </w:pPr>
      <w:hyperlink w:anchor="_Toc256000011" w:history="1">
        <w:r>
          <w:rPr>
            <w:rStyle w:val="Hyperlink"/>
            <w:noProof/>
          </w:rPr>
          <w:t>2.A.5 Specific objectives corresponding to the investment priority and expected results</w:t>
        </w:r>
        <w:r>
          <w:tab/>
        </w:r>
        <w:r>
          <w:fldChar w:fldCharType="begin"/>
        </w:r>
        <w:r>
          <w:instrText xml:space="preserve"> PAGEREF _Toc256000011 \h </w:instrText>
        </w:r>
        <w:r>
          <w:fldChar w:fldCharType="separate"/>
        </w:r>
        <w:r>
          <w:t>36</w:t>
        </w:r>
        <w:r>
          <w:fldChar w:fldCharType="end"/>
        </w:r>
      </w:hyperlink>
    </w:p>
    <w:p>
      <w:pPr>
        <w:pStyle w:val="TOC2"/>
        <w:tabs>
          <w:tab w:val="right" w:leader="dot" w:pos="8613"/>
        </w:tabs>
        <w:rPr>
          <w:rFonts w:ascii="Calibri" w:hAnsi="Calibri"/>
          <w:noProof/>
          <w:sz w:val="22"/>
        </w:rPr>
      </w:pPr>
      <w:hyperlink w:anchor="_Toc256000012" w:history="1">
        <w:r>
          <w:rPr>
            <w:rStyle w:val="Hyperlink"/>
            <w:noProof/>
          </w:rPr>
          <w:t>2.A.6 Action to be supported under the investment priority</w:t>
        </w:r>
        <w:r>
          <w:rPr>
            <w:rStyle w:val="Hyperlink"/>
          </w:rPr>
          <w:t xml:space="preserve"> </w:t>
        </w:r>
        <w:r>
          <w:rPr>
            <w:rStyle w:val="Hyperlink"/>
            <w:noProof/>
          </w:rPr>
          <w:t>(by investment priority)</w:t>
        </w:r>
        <w:r>
          <w:tab/>
        </w:r>
        <w:r>
          <w:fldChar w:fldCharType="begin"/>
        </w:r>
        <w:r>
          <w:instrText xml:space="preserve"> PAGEREF _Toc256000012 \h </w:instrText>
        </w:r>
        <w:r>
          <w:fldChar w:fldCharType="separate"/>
        </w:r>
        <w:r>
          <w:t>39</w:t>
        </w:r>
        <w:r>
          <w:fldChar w:fldCharType="end"/>
        </w:r>
      </w:hyperlink>
    </w:p>
    <w:p>
      <w:pPr>
        <w:pStyle w:val="TOC3"/>
        <w:tabs>
          <w:tab w:val="right" w:leader="dot" w:pos="8613"/>
        </w:tabs>
        <w:rPr>
          <w:rFonts w:ascii="Calibri" w:hAnsi="Calibri"/>
          <w:noProof/>
          <w:sz w:val="22"/>
        </w:rPr>
      </w:pPr>
      <w:hyperlink w:anchor="_Toc256000015" w:history="1">
        <w:r w:rsidRPr="0076169B">
          <w:rPr>
            <w:rStyle w:val="Hyperlink"/>
            <w:b/>
            <w:noProof/>
          </w:rPr>
          <w:t>2.A.6.1 Description of the type and examples of actions to be supported and their expected contribution to the specific objectives including, where appropriate, the identification of main target groups, specific territories targeted and types of beneficiaries</w:t>
        </w:r>
        <w:r>
          <w:tab/>
        </w:r>
        <w:r>
          <w:fldChar w:fldCharType="begin"/>
        </w:r>
        <w:r>
          <w:instrText xml:space="preserve"> PAGEREF _Toc256000015 \h </w:instrText>
        </w:r>
        <w:r>
          <w:fldChar w:fldCharType="separate"/>
        </w:r>
        <w:r>
          <w:t>39</w:t>
        </w:r>
        <w:r>
          <w:fldChar w:fldCharType="end"/>
        </w:r>
      </w:hyperlink>
    </w:p>
    <w:p>
      <w:pPr>
        <w:pStyle w:val="TOC3"/>
        <w:tabs>
          <w:tab w:val="right" w:leader="dot" w:pos="8613"/>
        </w:tabs>
        <w:rPr>
          <w:rFonts w:ascii="Calibri" w:hAnsi="Calibri"/>
          <w:noProof/>
          <w:sz w:val="22"/>
        </w:rPr>
      </w:pPr>
      <w:hyperlink w:anchor="_Toc256000016" w:history="1">
        <w:r>
          <w:rPr>
            <w:rStyle w:val="Hyperlink"/>
            <w:b/>
            <w:noProof/>
          </w:rPr>
          <w:t>2.A.6.2 Guiding principles for selection of operations</w:t>
        </w:r>
        <w:r>
          <w:tab/>
        </w:r>
        <w:r>
          <w:fldChar w:fldCharType="begin"/>
        </w:r>
        <w:r>
          <w:instrText xml:space="preserve"> PAGEREF _Toc256000016 \h </w:instrText>
        </w:r>
        <w:r>
          <w:fldChar w:fldCharType="separate"/>
        </w:r>
        <w:r>
          <w:t>47</w:t>
        </w:r>
        <w:r>
          <w:fldChar w:fldCharType="end"/>
        </w:r>
      </w:hyperlink>
    </w:p>
    <w:p>
      <w:pPr>
        <w:pStyle w:val="TOC3"/>
        <w:tabs>
          <w:tab w:val="right" w:leader="dot" w:pos="8613"/>
        </w:tabs>
        <w:rPr>
          <w:rFonts w:ascii="Calibri" w:hAnsi="Calibri"/>
          <w:noProof/>
          <w:sz w:val="22"/>
        </w:rPr>
      </w:pPr>
      <w:hyperlink w:anchor="_Toc256000018" w:history="1">
        <w:r>
          <w:rPr>
            <w:rStyle w:val="Hyperlink"/>
            <w:b/>
            <w:noProof/>
          </w:rPr>
          <w:t>2.A.6.3 Planned use of financial instruments</w:t>
        </w:r>
        <w:r>
          <w:rPr>
            <w:rStyle w:val="Hyperlink"/>
            <w:b/>
          </w:rPr>
          <w:t xml:space="preserve"> </w:t>
        </w:r>
        <w:r>
          <w:rPr>
            <w:rStyle w:val="Hyperlink"/>
            <w:noProof/>
          </w:rPr>
          <w:t>(where appropriate)</w:t>
        </w:r>
        <w:r>
          <w:tab/>
        </w:r>
        <w:r>
          <w:fldChar w:fldCharType="begin"/>
        </w:r>
        <w:r>
          <w:instrText xml:space="preserve"> PAGEREF _Toc256000018 \h </w:instrText>
        </w:r>
        <w:r>
          <w:fldChar w:fldCharType="separate"/>
        </w:r>
        <w:r>
          <w:t>49</w:t>
        </w:r>
        <w:r>
          <w:fldChar w:fldCharType="end"/>
        </w:r>
      </w:hyperlink>
    </w:p>
    <w:p>
      <w:pPr>
        <w:pStyle w:val="TOC3"/>
        <w:tabs>
          <w:tab w:val="right" w:leader="dot" w:pos="8613"/>
        </w:tabs>
        <w:rPr>
          <w:rFonts w:ascii="Calibri" w:hAnsi="Calibri"/>
          <w:noProof/>
          <w:sz w:val="22"/>
        </w:rPr>
      </w:pPr>
      <w:hyperlink w:anchor="_Toc256000019" w:history="1">
        <w:r w:rsidRPr="00164AE6">
          <w:rPr>
            <w:rStyle w:val="Hyperlink"/>
            <w:b/>
            <w:noProof/>
            <w:lang w:val="fr-BE"/>
          </w:rPr>
          <w:t>2.A.6.4 Planned use of major projects</w:t>
        </w:r>
        <w:r w:rsidRPr="00164AE6">
          <w:rPr>
            <w:rStyle w:val="Hyperlink"/>
            <w:lang w:val="fr-BE"/>
          </w:rPr>
          <w:t xml:space="preserve"> </w:t>
        </w:r>
        <w:r w:rsidRPr="00164AE6">
          <w:rPr>
            <w:rStyle w:val="Hyperlink"/>
            <w:noProof/>
            <w:lang w:val="fr-BE"/>
          </w:rPr>
          <w:t>(where appropriate)</w:t>
        </w:r>
        <w:r>
          <w:tab/>
        </w:r>
        <w:r>
          <w:fldChar w:fldCharType="begin"/>
        </w:r>
        <w:r>
          <w:instrText xml:space="preserve"> PAGEREF _Toc256000019 \h </w:instrText>
        </w:r>
        <w:r>
          <w:fldChar w:fldCharType="separate"/>
        </w:r>
        <w:r>
          <w:t>49</w:t>
        </w:r>
        <w:r>
          <w:fldChar w:fldCharType="end"/>
        </w:r>
      </w:hyperlink>
    </w:p>
    <w:p>
      <w:pPr>
        <w:pStyle w:val="TOC3"/>
        <w:tabs>
          <w:tab w:val="right" w:leader="dot" w:pos="8613"/>
        </w:tabs>
        <w:rPr>
          <w:rFonts w:ascii="Calibri" w:hAnsi="Calibri"/>
          <w:noProof/>
          <w:sz w:val="22"/>
        </w:rPr>
      </w:pPr>
      <w:hyperlink w:anchor="_Toc256000020" w:history="1">
        <w:r>
          <w:rPr>
            <w:rStyle w:val="Hyperlink"/>
            <w:b/>
            <w:noProof/>
          </w:rPr>
          <w:t>2.A.6.5 Output indicators by investment priority and, where appropriate by category of region</w:t>
        </w:r>
        <w:r>
          <w:tab/>
        </w:r>
        <w:r>
          <w:fldChar w:fldCharType="begin"/>
        </w:r>
        <w:r>
          <w:instrText xml:space="preserve"> PAGEREF _Toc256000020 \h </w:instrText>
        </w:r>
        <w:r>
          <w:fldChar w:fldCharType="separate"/>
        </w:r>
        <w:r>
          <w:t>51</w:t>
        </w:r>
        <w:r>
          <w:fldChar w:fldCharType="end"/>
        </w:r>
      </w:hyperlink>
    </w:p>
    <w:p>
      <w:pPr>
        <w:pStyle w:val="TOC3"/>
        <w:tabs>
          <w:tab w:val="right" w:leader="dot" w:pos="8613"/>
        </w:tabs>
        <w:rPr>
          <w:rFonts w:ascii="Calibri" w:hAnsi="Calibri"/>
          <w:noProof/>
          <w:sz w:val="22"/>
        </w:rPr>
      </w:pPr>
      <w:hyperlink w:anchor="_Toc256000022" w:history="1">
        <w:r>
          <w:rPr>
            <w:rStyle w:val="Hyperlink"/>
            <w:b/>
            <w:noProof/>
          </w:rPr>
          <w:t>Investment priority</w:t>
        </w:r>
        <w:r>
          <w:tab/>
        </w:r>
        <w:r>
          <w:fldChar w:fldCharType="begin"/>
        </w:r>
        <w:r>
          <w:instrText xml:space="preserve"> PAGEREF _Toc256000022 \h </w:instrText>
        </w:r>
        <w:r>
          <w:fldChar w:fldCharType="separate"/>
        </w:r>
        <w:r>
          <w:t>51</w:t>
        </w:r>
        <w:r>
          <w:fldChar w:fldCharType="end"/>
        </w:r>
      </w:hyperlink>
    </w:p>
    <w:p>
      <w:pPr>
        <w:pStyle w:val="TOC3"/>
        <w:tabs>
          <w:tab w:val="right" w:leader="dot" w:pos="8613"/>
        </w:tabs>
        <w:rPr>
          <w:rFonts w:ascii="Calibri" w:hAnsi="Calibri"/>
          <w:noProof/>
          <w:sz w:val="22"/>
        </w:rPr>
      </w:pPr>
      <w:hyperlink w:anchor="_Toc256000023" w:history="1">
        <w:r w:rsidRPr="005D6B15">
          <w:rPr>
            <w:rStyle w:val="Hyperlink"/>
            <w:b/>
            <w:noProof/>
          </w:rPr>
          <w:t xml:space="preserve">1a - </w:t>
        </w:r>
        <w:r w:rsidRPr="005D6B15">
          <w:rPr>
            <w:rStyle w:val="Hyperlink"/>
            <w:b/>
            <w:noProof/>
          </w:rPr>
          <w:t>Enhancing research and innovation (R&amp;I) infrastructure and capacities to develop R&amp;I excellence, and promoting centres of competence, in particular those of European interest</w:t>
        </w:r>
        <w:r>
          <w:tab/>
        </w:r>
        <w:r>
          <w:fldChar w:fldCharType="begin"/>
        </w:r>
        <w:r>
          <w:instrText xml:space="preserve"> PAGEREF _Toc256000023 \h </w:instrText>
        </w:r>
        <w:r>
          <w:fldChar w:fldCharType="separate"/>
        </w:r>
        <w:r>
          <w:t>51</w:t>
        </w:r>
        <w:r>
          <w:fldChar w:fldCharType="end"/>
        </w:r>
      </w:hyperlink>
    </w:p>
    <w:p>
      <w:pPr>
        <w:pStyle w:val="TOC2"/>
        <w:tabs>
          <w:tab w:val="right" w:leader="dot" w:pos="8613"/>
        </w:tabs>
        <w:rPr>
          <w:rFonts w:ascii="Calibri" w:hAnsi="Calibri"/>
          <w:noProof/>
          <w:sz w:val="22"/>
        </w:rPr>
      </w:pPr>
      <w:hyperlink w:anchor="_Toc256000024" w:history="1">
        <w:r>
          <w:rPr>
            <w:rStyle w:val="Hyperlink"/>
            <w:noProof/>
          </w:rPr>
          <w:t>2.A.4 Investment priority</w:t>
        </w:r>
        <w:r>
          <w:tab/>
        </w:r>
        <w:r>
          <w:fldChar w:fldCharType="begin"/>
        </w:r>
        <w:r>
          <w:instrText xml:space="preserve"> PAGEREF _Toc256000024 \h </w:instrText>
        </w:r>
        <w:r>
          <w:fldChar w:fldCharType="separate"/>
        </w:r>
        <w:r>
          <w:t>52</w:t>
        </w:r>
        <w:r>
          <w:fldChar w:fldCharType="end"/>
        </w:r>
      </w:hyperlink>
    </w:p>
    <w:p>
      <w:pPr>
        <w:pStyle w:val="TOC2"/>
        <w:tabs>
          <w:tab w:val="right" w:leader="dot" w:pos="8613"/>
        </w:tabs>
        <w:rPr>
          <w:rFonts w:ascii="Calibri" w:hAnsi="Calibri"/>
          <w:noProof/>
          <w:sz w:val="22"/>
        </w:rPr>
      </w:pPr>
      <w:hyperlink w:anchor="_Toc256000025" w:history="1">
        <w:r>
          <w:rPr>
            <w:rStyle w:val="Hyperlink"/>
            <w:noProof/>
          </w:rPr>
          <w:t>2.A.5 Specific objectives corresponding to the investment priority and expected results</w:t>
        </w:r>
        <w:r>
          <w:tab/>
        </w:r>
        <w:r>
          <w:fldChar w:fldCharType="begin"/>
        </w:r>
        <w:r>
          <w:instrText xml:space="preserve"> PAGEREF _Toc256000025 \h </w:instrText>
        </w:r>
        <w:r>
          <w:fldChar w:fldCharType="separate"/>
        </w:r>
        <w:r>
          <w:t>52</w:t>
        </w:r>
        <w:r>
          <w:fldChar w:fldCharType="end"/>
        </w:r>
      </w:hyperlink>
    </w:p>
    <w:p>
      <w:pPr>
        <w:pStyle w:val="TOC2"/>
        <w:tabs>
          <w:tab w:val="right" w:leader="dot" w:pos="8613"/>
        </w:tabs>
        <w:rPr>
          <w:rFonts w:ascii="Calibri" w:hAnsi="Calibri"/>
          <w:noProof/>
          <w:sz w:val="22"/>
        </w:rPr>
      </w:pPr>
      <w:hyperlink w:anchor="_Toc256000026" w:history="1">
        <w:r>
          <w:rPr>
            <w:rStyle w:val="Hyperlink"/>
            <w:noProof/>
          </w:rPr>
          <w:t>2.A.6 Action to be supported under the investment priority</w:t>
        </w:r>
        <w:r>
          <w:rPr>
            <w:rStyle w:val="Hyperlink"/>
          </w:rPr>
          <w:t xml:space="preserve"> </w:t>
        </w:r>
        <w:r>
          <w:rPr>
            <w:rStyle w:val="Hyperlink"/>
            <w:noProof/>
          </w:rPr>
          <w:t>(by investment priority)</w:t>
        </w:r>
        <w:r>
          <w:tab/>
        </w:r>
        <w:r>
          <w:fldChar w:fldCharType="begin"/>
        </w:r>
        <w:r>
          <w:instrText xml:space="preserve"> PAGEREF _Toc256000026 \h </w:instrText>
        </w:r>
        <w:r>
          <w:fldChar w:fldCharType="separate"/>
        </w:r>
        <w:r>
          <w:t>54</w:t>
        </w:r>
        <w:r>
          <w:fldChar w:fldCharType="end"/>
        </w:r>
      </w:hyperlink>
    </w:p>
    <w:p>
      <w:pPr>
        <w:pStyle w:val="TOC3"/>
        <w:tabs>
          <w:tab w:val="right" w:leader="dot" w:pos="8613"/>
        </w:tabs>
        <w:rPr>
          <w:rFonts w:ascii="Calibri" w:hAnsi="Calibri"/>
          <w:noProof/>
          <w:sz w:val="22"/>
        </w:rPr>
      </w:pPr>
      <w:hyperlink w:anchor="_Toc256000027" w:history="1">
        <w:r w:rsidRPr="0076169B">
          <w:rPr>
            <w:rStyle w:val="Hyperlink"/>
            <w:b/>
            <w:noProof/>
          </w:rPr>
          <w:t>2.A.6.1 Description of the type and examples of actions to be supported and their expected contribution to the specific objectives including, where appropriate, the identification of main target groups, specific territories targeted and types of beneficiaries</w:t>
        </w:r>
        <w:r>
          <w:tab/>
        </w:r>
        <w:r>
          <w:fldChar w:fldCharType="begin"/>
        </w:r>
        <w:r>
          <w:instrText xml:space="preserve"> PAGEREF _Toc256000027 \h </w:instrText>
        </w:r>
        <w:r>
          <w:fldChar w:fldCharType="separate"/>
        </w:r>
        <w:r>
          <w:t>54</w:t>
        </w:r>
        <w:r>
          <w:fldChar w:fldCharType="end"/>
        </w:r>
      </w:hyperlink>
    </w:p>
    <w:p>
      <w:pPr>
        <w:pStyle w:val="TOC3"/>
        <w:tabs>
          <w:tab w:val="right" w:leader="dot" w:pos="8613"/>
        </w:tabs>
        <w:rPr>
          <w:rFonts w:ascii="Calibri" w:hAnsi="Calibri"/>
          <w:noProof/>
          <w:sz w:val="22"/>
        </w:rPr>
      </w:pPr>
      <w:hyperlink w:anchor="_Toc256000028" w:history="1">
        <w:r>
          <w:rPr>
            <w:rStyle w:val="Hyperlink"/>
            <w:b/>
            <w:noProof/>
          </w:rPr>
          <w:t>2.A.6.2 Guiding principles for selection of operations</w:t>
        </w:r>
        <w:r>
          <w:tab/>
        </w:r>
        <w:r>
          <w:fldChar w:fldCharType="begin"/>
        </w:r>
        <w:r>
          <w:instrText xml:space="preserve"> PAGEREF _Toc256000028 \h </w:instrText>
        </w:r>
        <w:r>
          <w:fldChar w:fldCharType="separate"/>
        </w:r>
        <w:r>
          <w:t>60</w:t>
        </w:r>
        <w:r>
          <w:fldChar w:fldCharType="end"/>
        </w:r>
      </w:hyperlink>
    </w:p>
    <w:p>
      <w:pPr>
        <w:pStyle w:val="TOC3"/>
        <w:tabs>
          <w:tab w:val="right" w:leader="dot" w:pos="8613"/>
        </w:tabs>
        <w:rPr>
          <w:rFonts w:ascii="Calibri" w:hAnsi="Calibri"/>
          <w:noProof/>
          <w:sz w:val="22"/>
        </w:rPr>
      </w:pPr>
      <w:hyperlink w:anchor="_Toc256000029" w:history="1">
        <w:r>
          <w:rPr>
            <w:rStyle w:val="Hyperlink"/>
            <w:b/>
            <w:noProof/>
          </w:rPr>
          <w:t>2.A.6.3 Planned use of financial instruments</w:t>
        </w:r>
        <w:r>
          <w:rPr>
            <w:rStyle w:val="Hyperlink"/>
            <w:b/>
          </w:rPr>
          <w:t xml:space="preserve"> </w:t>
        </w:r>
        <w:r>
          <w:rPr>
            <w:rStyle w:val="Hyperlink"/>
            <w:noProof/>
          </w:rPr>
          <w:t>(where appropriate)</w:t>
        </w:r>
        <w:r>
          <w:tab/>
        </w:r>
        <w:r>
          <w:fldChar w:fldCharType="begin"/>
        </w:r>
        <w:r>
          <w:instrText xml:space="preserve"> PAGEREF _Toc256000029 \h </w:instrText>
        </w:r>
        <w:r>
          <w:fldChar w:fldCharType="separate"/>
        </w:r>
        <w:r>
          <w:t>62</w:t>
        </w:r>
        <w:r>
          <w:fldChar w:fldCharType="end"/>
        </w:r>
      </w:hyperlink>
    </w:p>
    <w:p>
      <w:pPr>
        <w:pStyle w:val="TOC3"/>
        <w:tabs>
          <w:tab w:val="right" w:leader="dot" w:pos="8613"/>
        </w:tabs>
        <w:rPr>
          <w:rFonts w:ascii="Calibri" w:hAnsi="Calibri"/>
          <w:noProof/>
          <w:sz w:val="22"/>
        </w:rPr>
      </w:pPr>
      <w:hyperlink w:anchor="_Toc256000030" w:history="1">
        <w:r w:rsidRPr="00164AE6">
          <w:rPr>
            <w:rStyle w:val="Hyperlink"/>
            <w:b/>
            <w:noProof/>
            <w:lang w:val="fr-BE"/>
          </w:rPr>
          <w:t>2.A.6.4 Planned use of major projects</w:t>
        </w:r>
        <w:r w:rsidRPr="00164AE6">
          <w:rPr>
            <w:rStyle w:val="Hyperlink"/>
            <w:lang w:val="fr-BE"/>
          </w:rPr>
          <w:t xml:space="preserve"> </w:t>
        </w:r>
        <w:r w:rsidRPr="00164AE6">
          <w:rPr>
            <w:rStyle w:val="Hyperlink"/>
            <w:noProof/>
            <w:lang w:val="fr-BE"/>
          </w:rPr>
          <w:t>(where appropriate)</w:t>
        </w:r>
        <w:r>
          <w:tab/>
        </w:r>
        <w:r>
          <w:fldChar w:fldCharType="begin"/>
        </w:r>
        <w:r>
          <w:instrText xml:space="preserve"> PAGEREF _Toc256000030 \h </w:instrText>
        </w:r>
        <w:r>
          <w:fldChar w:fldCharType="separate"/>
        </w:r>
        <w:r>
          <w:t>63</w:t>
        </w:r>
        <w:r>
          <w:fldChar w:fldCharType="end"/>
        </w:r>
      </w:hyperlink>
    </w:p>
    <w:p>
      <w:pPr>
        <w:pStyle w:val="TOC3"/>
        <w:tabs>
          <w:tab w:val="right" w:leader="dot" w:pos="8613"/>
        </w:tabs>
        <w:rPr>
          <w:rFonts w:ascii="Calibri" w:hAnsi="Calibri"/>
          <w:noProof/>
          <w:sz w:val="22"/>
        </w:rPr>
      </w:pPr>
      <w:hyperlink w:anchor="_Toc256000031" w:history="1">
        <w:r>
          <w:rPr>
            <w:rStyle w:val="Hyperlink"/>
            <w:b/>
            <w:noProof/>
          </w:rPr>
          <w:t>2.A.6.5 Output indicators by investment priority and, where appropriate by category of region</w:t>
        </w:r>
        <w:r>
          <w:tab/>
        </w:r>
        <w:r>
          <w:fldChar w:fldCharType="begin"/>
        </w:r>
        <w:r>
          <w:instrText xml:space="preserve"> PAGEREF _Toc256000031 \h </w:instrText>
        </w:r>
        <w:r>
          <w:fldChar w:fldCharType="separate"/>
        </w:r>
        <w:r>
          <w:t>63</w:t>
        </w:r>
        <w:r>
          <w:fldChar w:fldCharType="end"/>
        </w:r>
      </w:hyperlink>
    </w:p>
    <w:p>
      <w:pPr>
        <w:pStyle w:val="TOC3"/>
        <w:tabs>
          <w:tab w:val="right" w:leader="dot" w:pos="8613"/>
        </w:tabs>
        <w:rPr>
          <w:rFonts w:ascii="Calibri" w:hAnsi="Calibri"/>
          <w:noProof/>
          <w:sz w:val="22"/>
        </w:rPr>
      </w:pPr>
      <w:hyperlink w:anchor="_Toc256000032" w:history="1">
        <w:r>
          <w:rPr>
            <w:rStyle w:val="Hyperlink"/>
            <w:b/>
            <w:noProof/>
          </w:rPr>
          <w:t>Investment priority</w:t>
        </w:r>
        <w:r>
          <w:tab/>
        </w:r>
        <w:r>
          <w:fldChar w:fldCharType="begin"/>
        </w:r>
        <w:r>
          <w:instrText xml:space="preserve"> PAGEREF _Toc256000032 \h </w:instrText>
        </w:r>
        <w:r>
          <w:fldChar w:fldCharType="separate"/>
        </w:r>
        <w:r>
          <w:t>63</w:t>
        </w:r>
        <w:r>
          <w:fldChar w:fldCharType="end"/>
        </w:r>
      </w:hyperlink>
    </w:p>
    <w:p>
      <w:pPr>
        <w:pStyle w:val="TOC3"/>
        <w:tabs>
          <w:tab w:val="right" w:leader="dot" w:pos="8613"/>
        </w:tabs>
        <w:rPr>
          <w:rFonts w:ascii="Calibri" w:hAnsi="Calibri"/>
          <w:noProof/>
          <w:sz w:val="22"/>
        </w:rPr>
      </w:pPr>
      <w:hyperlink w:anchor="_Toc256000033" w:history="1">
        <w:r w:rsidRPr="005D6B15">
          <w:rPr>
            <w:rStyle w:val="Hyperlink"/>
            <w:b/>
            <w:noProof/>
          </w:rPr>
          <w:t xml:space="preserve">1b - </w:t>
        </w:r>
        <w:r w:rsidRPr="005D6B15">
          <w:rPr>
            <w:rStyle w:val="Hyperlink"/>
            <w:b/>
            <w:noProof/>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r>
          <w:tab/>
        </w:r>
        <w:r>
          <w:fldChar w:fldCharType="begin"/>
        </w:r>
        <w:r>
          <w:instrText xml:space="preserve"> PAGEREF _Toc256000033 \h </w:instrText>
        </w:r>
        <w:r>
          <w:fldChar w:fldCharType="separate"/>
        </w:r>
        <w:r>
          <w:t>63</w:t>
        </w:r>
        <w:r>
          <w:fldChar w:fldCharType="end"/>
        </w:r>
      </w:hyperlink>
    </w:p>
    <w:p>
      <w:pPr>
        <w:pStyle w:val="TOC2"/>
        <w:tabs>
          <w:tab w:val="right" w:leader="dot" w:pos="8613"/>
        </w:tabs>
        <w:rPr>
          <w:rFonts w:ascii="Calibri" w:hAnsi="Calibri"/>
          <w:noProof/>
          <w:sz w:val="22"/>
        </w:rPr>
      </w:pPr>
      <w:hyperlink w:anchor="_Toc256000034" w:history="1">
        <w:r>
          <w:rPr>
            <w:rStyle w:val="Hyperlink"/>
            <w:noProof/>
          </w:rPr>
          <w:t>2.A.7 Social innovation, transnational cooperation and contribution to thematic objectives 1-7</w:t>
        </w:r>
        <w:r>
          <w:tab/>
        </w:r>
        <w:r>
          <w:fldChar w:fldCharType="begin"/>
        </w:r>
        <w:r>
          <w:instrText xml:space="preserve"> PAGEREF _Toc256000034 \h </w:instrText>
        </w:r>
        <w:r>
          <w:fldChar w:fldCharType="separate"/>
        </w:r>
        <w:r>
          <w:t>65</w:t>
        </w:r>
        <w:r>
          <w:fldChar w:fldCharType="end"/>
        </w:r>
      </w:hyperlink>
    </w:p>
    <w:p>
      <w:pPr>
        <w:pStyle w:val="TOC2"/>
        <w:tabs>
          <w:tab w:val="right" w:leader="dot" w:pos="8613"/>
        </w:tabs>
        <w:rPr>
          <w:rFonts w:ascii="Calibri" w:hAnsi="Calibri"/>
          <w:noProof/>
          <w:sz w:val="22"/>
        </w:rPr>
      </w:pPr>
      <w:hyperlink w:anchor="_Toc256000035" w:history="1">
        <w:r>
          <w:rPr>
            <w:rStyle w:val="Hyperlink"/>
            <w:noProof/>
          </w:rPr>
          <w:t>2.A.8 Performance framework</w:t>
        </w:r>
        <w:r>
          <w:tab/>
        </w:r>
        <w:r>
          <w:fldChar w:fldCharType="begin"/>
        </w:r>
        <w:r>
          <w:instrText xml:space="preserve"> PAGEREF _Toc256000035 \h </w:instrText>
        </w:r>
        <w:r>
          <w:fldChar w:fldCharType="separate"/>
        </w:r>
        <w:r>
          <w:t>66</w:t>
        </w:r>
        <w:r>
          <w:fldChar w:fldCharType="end"/>
        </w:r>
      </w:hyperlink>
    </w:p>
    <w:p>
      <w:pPr>
        <w:pStyle w:val="TOC2"/>
        <w:tabs>
          <w:tab w:val="right" w:leader="dot" w:pos="8613"/>
        </w:tabs>
        <w:rPr>
          <w:rFonts w:ascii="Calibri" w:hAnsi="Calibri"/>
          <w:noProof/>
          <w:sz w:val="22"/>
        </w:rPr>
      </w:pPr>
      <w:hyperlink w:anchor="_Toc256000036" w:history="1">
        <w:r>
          <w:rPr>
            <w:rStyle w:val="Hyperlink"/>
            <w:noProof/>
          </w:rPr>
          <w:t>2.A.9 Categories of intervention</w:t>
        </w:r>
        <w:r>
          <w:tab/>
        </w:r>
        <w:r>
          <w:fldChar w:fldCharType="begin"/>
        </w:r>
        <w:r>
          <w:instrText xml:space="preserve"> PAGEREF _Toc256000036 \h </w:instrText>
        </w:r>
        <w:r>
          <w:fldChar w:fldCharType="separate"/>
        </w:r>
        <w:r>
          <w:t>67</w:t>
        </w:r>
        <w:r>
          <w:fldChar w:fldCharType="end"/>
        </w:r>
      </w:hyperlink>
    </w:p>
    <w:p>
      <w:pPr>
        <w:pStyle w:val="TOC2"/>
        <w:tabs>
          <w:tab w:val="right" w:leader="dot" w:pos="8613"/>
        </w:tabs>
        <w:rPr>
          <w:rFonts w:ascii="Calibri" w:hAnsi="Calibri"/>
          <w:noProof/>
          <w:sz w:val="22"/>
        </w:rPr>
      </w:pPr>
      <w:hyperlink w:anchor="_Toc256000037" w:history="1">
        <w:r>
          <w:rPr>
            <w:rStyle w:val="Hyperlink"/>
            <w:noProof/>
          </w:rPr>
          <w:t>2.A.10 Summary of the planned use of technical assistance including, where necessary, actions to reinforce the administrative capacity of authorities involved in the management and control of the programmes and beneficiaries</w:t>
        </w:r>
        <w:r>
          <w:rPr>
            <w:rStyle w:val="Hyperlink"/>
          </w:rPr>
          <w:t xml:space="preserve"> </w:t>
        </w:r>
        <w:r>
          <w:rPr>
            <w:rStyle w:val="Hyperlink"/>
            <w:noProof/>
          </w:rPr>
          <w:t>(where appropriate)</w:t>
        </w:r>
        <w:r>
          <w:rPr>
            <w:rStyle w:val="Hyperlink"/>
          </w:rPr>
          <w:t xml:space="preserve"> </w:t>
        </w:r>
        <w:r>
          <w:rPr>
            <w:rStyle w:val="Hyperlink"/>
            <w:noProof/>
          </w:rPr>
          <w:t>(by priority axis)</w:t>
        </w:r>
        <w:r>
          <w:tab/>
        </w:r>
        <w:r>
          <w:fldChar w:fldCharType="begin"/>
        </w:r>
        <w:r>
          <w:instrText xml:space="preserve"> PAGEREF _Toc256000037 \h </w:instrText>
        </w:r>
        <w:r>
          <w:fldChar w:fldCharType="separate"/>
        </w:r>
        <w:r>
          <w:t>69</w:t>
        </w:r>
        <w:r>
          <w:fldChar w:fldCharType="end"/>
        </w:r>
      </w:hyperlink>
    </w:p>
    <w:p>
      <w:pPr>
        <w:pStyle w:val="TOC2"/>
        <w:tabs>
          <w:tab w:val="right" w:leader="dot" w:pos="8613"/>
        </w:tabs>
        <w:rPr>
          <w:rFonts w:ascii="Calibri" w:hAnsi="Calibri"/>
          <w:noProof/>
          <w:sz w:val="22"/>
        </w:rPr>
      </w:pPr>
      <w:hyperlink w:anchor="_Toc256000038" w:history="1">
        <w:r w:rsidRPr="009F202D">
          <w:rPr>
            <w:rStyle w:val="Hyperlink"/>
            <w:noProof/>
            <w:lang w:val="fr-BE"/>
          </w:rPr>
          <w:t>2.A.1 Priority axis</w:t>
        </w:r>
        <w:r>
          <w:tab/>
        </w:r>
        <w:r>
          <w:fldChar w:fldCharType="begin"/>
        </w:r>
        <w:r>
          <w:instrText xml:space="preserve"> PAGEREF _Toc256000038 \h </w:instrText>
        </w:r>
        <w:r>
          <w:fldChar w:fldCharType="separate"/>
        </w:r>
        <w:r>
          <w:t>70</w:t>
        </w:r>
        <w:r>
          <w:fldChar w:fldCharType="end"/>
        </w:r>
      </w:hyperlink>
    </w:p>
    <w:p>
      <w:pPr>
        <w:pStyle w:val="TOC2"/>
        <w:tabs>
          <w:tab w:val="right" w:leader="dot" w:pos="8613"/>
        </w:tabs>
        <w:rPr>
          <w:rFonts w:ascii="Calibri" w:hAnsi="Calibri"/>
          <w:noProof/>
          <w:sz w:val="22"/>
        </w:rPr>
      </w:pPr>
      <w:hyperlink w:anchor="_Toc256000039" w:history="1">
        <w:r>
          <w:rPr>
            <w:rStyle w:val="Hyperlink"/>
            <w:noProof/>
          </w:rPr>
          <w:t>2.A.2 Justification for the establishment of a priority axis covering more than one category of region, thematic objective or fund</w:t>
        </w:r>
        <w:r>
          <w:rPr>
            <w:rStyle w:val="Hyperlink"/>
          </w:rPr>
          <w:t xml:space="preserve"> </w:t>
        </w:r>
        <w:r>
          <w:rPr>
            <w:rStyle w:val="Hyperlink"/>
            <w:noProof/>
          </w:rPr>
          <w:t>(where applicable)</w:t>
        </w:r>
        <w:r>
          <w:tab/>
        </w:r>
        <w:r>
          <w:fldChar w:fldCharType="begin"/>
        </w:r>
        <w:r>
          <w:instrText xml:space="preserve"> PAGEREF _Toc256000039 \h </w:instrText>
        </w:r>
        <w:r>
          <w:fldChar w:fldCharType="separate"/>
        </w:r>
        <w:r>
          <w:t>70</w:t>
        </w:r>
        <w:r>
          <w:fldChar w:fldCharType="end"/>
        </w:r>
      </w:hyperlink>
    </w:p>
    <w:p>
      <w:pPr>
        <w:pStyle w:val="TOC2"/>
        <w:tabs>
          <w:tab w:val="right" w:leader="dot" w:pos="8613"/>
        </w:tabs>
        <w:rPr>
          <w:rFonts w:ascii="Calibri" w:hAnsi="Calibri"/>
          <w:noProof/>
          <w:sz w:val="22"/>
        </w:rPr>
      </w:pPr>
      <w:hyperlink w:anchor="_Toc256000040" w:history="1">
        <w:r>
          <w:rPr>
            <w:rStyle w:val="Hyperlink"/>
            <w:noProof/>
          </w:rPr>
          <w:t>2.A.3 Fund, category of region and calculation basis for Union support</w:t>
        </w:r>
        <w:r>
          <w:tab/>
        </w:r>
        <w:r>
          <w:fldChar w:fldCharType="begin"/>
        </w:r>
        <w:r>
          <w:instrText xml:space="preserve"> PAGEREF _Toc256000040 \h </w:instrText>
        </w:r>
        <w:r>
          <w:fldChar w:fldCharType="separate"/>
        </w:r>
        <w:r>
          <w:t>71</w:t>
        </w:r>
        <w:r>
          <w:fldChar w:fldCharType="end"/>
        </w:r>
      </w:hyperlink>
    </w:p>
    <w:p>
      <w:pPr>
        <w:pStyle w:val="TOC2"/>
        <w:tabs>
          <w:tab w:val="right" w:leader="dot" w:pos="8613"/>
        </w:tabs>
        <w:rPr>
          <w:rFonts w:ascii="Calibri" w:hAnsi="Calibri"/>
          <w:noProof/>
          <w:sz w:val="22"/>
        </w:rPr>
      </w:pPr>
      <w:hyperlink w:anchor="_Toc256000041" w:history="1">
        <w:r>
          <w:rPr>
            <w:rStyle w:val="Hyperlink"/>
            <w:noProof/>
          </w:rPr>
          <w:t>2.A.4 Investment priority</w:t>
        </w:r>
        <w:r>
          <w:tab/>
        </w:r>
        <w:r>
          <w:fldChar w:fldCharType="begin"/>
        </w:r>
        <w:r>
          <w:instrText xml:space="preserve"> PAGEREF _Toc256000041 \h </w:instrText>
        </w:r>
        <w:r>
          <w:fldChar w:fldCharType="separate"/>
        </w:r>
        <w:r>
          <w:t>71</w:t>
        </w:r>
        <w:r>
          <w:fldChar w:fldCharType="end"/>
        </w:r>
      </w:hyperlink>
    </w:p>
    <w:p>
      <w:pPr>
        <w:pStyle w:val="TOC2"/>
        <w:tabs>
          <w:tab w:val="right" w:leader="dot" w:pos="8613"/>
        </w:tabs>
        <w:rPr>
          <w:rFonts w:ascii="Calibri" w:hAnsi="Calibri"/>
          <w:noProof/>
          <w:sz w:val="22"/>
        </w:rPr>
      </w:pPr>
      <w:hyperlink w:anchor="_Toc256000042" w:history="1">
        <w:r>
          <w:rPr>
            <w:rStyle w:val="Hyperlink"/>
            <w:noProof/>
          </w:rPr>
          <w:t>2.A.5 Specific objectives corresponding to the investment priority and expected results</w:t>
        </w:r>
        <w:r>
          <w:tab/>
        </w:r>
        <w:r>
          <w:fldChar w:fldCharType="begin"/>
        </w:r>
        <w:r>
          <w:instrText xml:space="preserve"> PAGEREF _Toc256000042 \h </w:instrText>
        </w:r>
        <w:r>
          <w:fldChar w:fldCharType="separate"/>
        </w:r>
        <w:r>
          <w:t>71</w:t>
        </w:r>
        <w:r>
          <w:fldChar w:fldCharType="end"/>
        </w:r>
      </w:hyperlink>
    </w:p>
    <w:p>
      <w:pPr>
        <w:pStyle w:val="TOC2"/>
        <w:tabs>
          <w:tab w:val="right" w:leader="dot" w:pos="8613"/>
        </w:tabs>
        <w:rPr>
          <w:rFonts w:ascii="Calibri" w:hAnsi="Calibri"/>
          <w:noProof/>
          <w:sz w:val="22"/>
        </w:rPr>
      </w:pPr>
      <w:hyperlink w:anchor="_Toc256000043" w:history="1">
        <w:r>
          <w:rPr>
            <w:rStyle w:val="Hyperlink"/>
            <w:noProof/>
          </w:rPr>
          <w:t>2.A.6 Action to be supported under the investment priority</w:t>
        </w:r>
        <w:r>
          <w:rPr>
            <w:rStyle w:val="Hyperlink"/>
          </w:rPr>
          <w:t xml:space="preserve"> </w:t>
        </w:r>
        <w:r>
          <w:rPr>
            <w:rStyle w:val="Hyperlink"/>
            <w:noProof/>
          </w:rPr>
          <w:t>(by investment priority)</w:t>
        </w:r>
        <w:r>
          <w:tab/>
        </w:r>
        <w:r>
          <w:fldChar w:fldCharType="begin"/>
        </w:r>
        <w:r>
          <w:instrText xml:space="preserve"> PAGEREF _Toc256000043 \h </w:instrText>
        </w:r>
        <w:r>
          <w:fldChar w:fldCharType="separate"/>
        </w:r>
        <w:r>
          <w:t>73</w:t>
        </w:r>
        <w:r>
          <w:fldChar w:fldCharType="end"/>
        </w:r>
      </w:hyperlink>
    </w:p>
    <w:p>
      <w:pPr>
        <w:pStyle w:val="TOC3"/>
        <w:tabs>
          <w:tab w:val="right" w:leader="dot" w:pos="8613"/>
        </w:tabs>
        <w:rPr>
          <w:rFonts w:ascii="Calibri" w:hAnsi="Calibri"/>
          <w:noProof/>
          <w:sz w:val="22"/>
        </w:rPr>
      </w:pPr>
      <w:hyperlink w:anchor="_Toc256000044" w:history="1">
        <w:r w:rsidRPr="0076169B">
          <w:rPr>
            <w:rStyle w:val="Hyperlink"/>
            <w:b/>
            <w:noProof/>
          </w:rPr>
          <w:t>2.A.6.1 Description of the type and examples of actions to be supported and their expected contribution to the specific objectives including, where appropriate, the identification of main target groups, specific territories targeted and types of beneficiaries</w:t>
        </w:r>
        <w:r>
          <w:tab/>
        </w:r>
        <w:r>
          <w:fldChar w:fldCharType="begin"/>
        </w:r>
        <w:r>
          <w:instrText xml:space="preserve"> PAGEREF _Toc256000044 \h </w:instrText>
        </w:r>
        <w:r>
          <w:fldChar w:fldCharType="separate"/>
        </w:r>
        <w:r>
          <w:t>73</w:t>
        </w:r>
        <w:r>
          <w:fldChar w:fldCharType="end"/>
        </w:r>
      </w:hyperlink>
    </w:p>
    <w:p>
      <w:pPr>
        <w:pStyle w:val="TOC3"/>
        <w:tabs>
          <w:tab w:val="right" w:leader="dot" w:pos="8613"/>
        </w:tabs>
        <w:rPr>
          <w:rFonts w:ascii="Calibri" w:hAnsi="Calibri"/>
          <w:noProof/>
          <w:sz w:val="22"/>
        </w:rPr>
      </w:pPr>
      <w:hyperlink w:anchor="_Toc256000045" w:history="1">
        <w:r>
          <w:rPr>
            <w:rStyle w:val="Hyperlink"/>
            <w:b/>
            <w:noProof/>
          </w:rPr>
          <w:t>2.A.6.2 Guiding principles for selection of operations</w:t>
        </w:r>
        <w:r>
          <w:tab/>
        </w:r>
        <w:r>
          <w:fldChar w:fldCharType="begin"/>
        </w:r>
        <w:r>
          <w:instrText xml:space="preserve"> PAGEREF _Toc256000045 \h </w:instrText>
        </w:r>
        <w:r>
          <w:fldChar w:fldCharType="separate"/>
        </w:r>
        <w:r>
          <w:t>75</w:t>
        </w:r>
        <w:r>
          <w:fldChar w:fldCharType="end"/>
        </w:r>
      </w:hyperlink>
    </w:p>
    <w:p>
      <w:pPr>
        <w:pStyle w:val="TOC3"/>
        <w:tabs>
          <w:tab w:val="right" w:leader="dot" w:pos="8613"/>
        </w:tabs>
        <w:rPr>
          <w:rFonts w:ascii="Calibri" w:hAnsi="Calibri"/>
          <w:noProof/>
          <w:sz w:val="22"/>
        </w:rPr>
      </w:pPr>
      <w:hyperlink w:anchor="_Toc256000046" w:history="1">
        <w:r>
          <w:rPr>
            <w:rStyle w:val="Hyperlink"/>
            <w:b/>
            <w:noProof/>
          </w:rPr>
          <w:t>2.A.6.3 Planned use of financial instruments</w:t>
        </w:r>
        <w:r>
          <w:rPr>
            <w:rStyle w:val="Hyperlink"/>
            <w:b/>
          </w:rPr>
          <w:t xml:space="preserve"> </w:t>
        </w:r>
        <w:r>
          <w:rPr>
            <w:rStyle w:val="Hyperlink"/>
            <w:noProof/>
          </w:rPr>
          <w:t>(where appropriate)</w:t>
        </w:r>
        <w:r>
          <w:tab/>
        </w:r>
        <w:r>
          <w:fldChar w:fldCharType="begin"/>
        </w:r>
        <w:r>
          <w:instrText xml:space="preserve"> PAGEREF _Toc256000046 \h </w:instrText>
        </w:r>
        <w:r>
          <w:fldChar w:fldCharType="separate"/>
        </w:r>
        <w:r>
          <w:t>76</w:t>
        </w:r>
        <w:r>
          <w:fldChar w:fldCharType="end"/>
        </w:r>
      </w:hyperlink>
    </w:p>
    <w:p>
      <w:pPr>
        <w:pStyle w:val="TOC3"/>
        <w:tabs>
          <w:tab w:val="right" w:leader="dot" w:pos="8613"/>
        </w:tabs>
        <w:rPr>
          <w:rFonts w:ascii="Calibri" w:hAnsi="Calibri"/>
          <w:noProof/>
          <w:sz w:val="22"/>
        </w:rPr>
      </w:pPr>
      <w:hyperlink w:anchor="_Toc256000047" w:history="1">
        <w:r w:rsidRPr="00164AE6">
          <w:rPr>
            <w:rStyle w:val="Hyperlink"/>
            <w:b/>
            <w:noProof/>
            <w:lang w:val="fr-BE"/>
          </w:rPr>
          <w:t>2.A.6.4 Planned use of major projects</w:t>
        </w:r>
        <w:r w:rsidRPr="00164AE6">
          <w:rPr>
            <w:rStyle w:val="Hyperlink"/>
            <w:lang w:val="fr-BE"/>
          </w:rPr>
          <w:t xml:space="preserve"> </w:t>
        </w:r>
        <w:r w:rsidRPr="00164AE6">
          <w:rPr>
            <w:rStyle w:val="Hyperlink"/>
            <w:noProof/>
            <w:lang w:val="fr-BE"/>
          </w:rPr>
          <w:t>(where appropriate)</w:t>
        </w:r>
        <w:r>
          <w:tab/>
        </w:r>
        <w:r>
          <w:fldChar w:fldCharType="begin"/>
        </w:r>
        <w:r>
          <w:instrText xml:space="preserve"> PAGEREF _Toc256000047 \h </w:instrText>
        </w:r>
        <w:r>
          <w:fldChar w:fldCharType="separate"/>
        </w:r>
        <w:r>
          <w:t>76</w:t>
        </w:r>
        <w:r>
          <w:fldChar w:fldCharType="end"/>
        </w:r>
      </w:hyperlink>
    </w:p>
    <w:p>
      <w:pPr>
        <w:pStyle w:val="TOC3"/>
        <w:tabs>
          <w:tab w:val="right" w:leader="dot" w:pos="8613"/>
        </w:tabs>
        <w:rPr>
          <w:rFonts w:ascii="Calibri" w:hAnsi="Calibri"/>
          <w:noProof/>
          <w:sz w:val="22"/>
        </w:rPr>
      </w:pPr>
      <w:hyperlink w:anchor="_Toc256000048" w:history="1">
        <w:r>
          <w:rPr>
            <w:rStyle w:val="Hyperlink"/>
            <w:b/>
            <w:noProof/>
          </w:rPr>
          <w:t>2.A.6.5 Output indicators by investment priority and, where appropriate by category of region</w:t>
        </w:r>
        <w:r>
          <w:tab/>
        </w:r>
        <w:r>
          <w:fldChar w:fldCharType="begin"/>
        </w:r>
        <w:r>
          <w:instrText xml:space="preserve"> PAGEREF _Toc256000048 \h </w:instrText>
        </w:r>
        <w:r>
          <w:fldChar w:fldCharType="separate"/>
        </w:r>
        <w:r>
          <w:t>77</w:t>
        </w:r>
        <w:r>
          <w:fldChar w:fldCharType="end"/>
        </w:r>
      </w:hyperlink>
    </w:p>
    <w:p>
      <w:pPr>
        <w:pStyle w:val="TOC3"/>
        <w:tabs>
          <w:tab w:val="right" w:leader="dot" w:pos="8613"/>
        </w:tabs>
        <w:rPr>
          <w:rFonts w:ascii="Calibri" w:hAnsi="Calibri"/>
          <w:noProof/>
          <w:sz w:val="22"/>
        </w:rPr>
      </w:pPr>
      <w:hyperlink w:anchor="_Toc256000049" w:history="1">
        <w:r>
          <w:rPr>
            <w:rStyle w:val="Hyperlink"/>
            <w:b/>
            <w:noProof/>
          </w:rPr>
          <w:t>Investment priority</w:t>
        </w:r>
        <w:r>
          <w:tab/>
        </w:r>
        <w:r>
          <w:fldChar w:fldCharType="begin"/>
        </w:r>
        <w:r>
          <w:instrText xml:space="preserve"> PAGEREF _Toc256000049 \h </w:instrText>
        </w:r>
        <w:r>
          <w:fldChar w:fldCharType="separate"/>
        </w:r>
        <w:r>
          <w:t>77</w:t>
        </w:r>
        <w:r>
          <w:fldChar w:fldCharType="end"/>
        </w:r>
      </w:hyperlink>
    </w:p>
    <w:p>
      <w:pPr>
        <w:pStyle w:val="TOC3"/>
        <w:tabs>
          <w:tab w:val="right" w:leader="dot" w:pos="8613"/>
        </w:tabs>
        <w:rPr>
          <w:rFonts w:ascii="Calibri" w:hAnsi="Calibri"/>
          <w:noProof/>
          <w:sz w:val="22"/>
        </w:rPr>
      </w:pPr>
      <w:hyperlink w:anchor="_Toc256000050" w:history="1">
        <w:r w:rsidRPr="005D6B15">
          <w:rPr>
            <w:rStyle w:val="Hyperlink"/>
            <w:b/>
            <w:noProof/>
          </w:rPr>
          <w:t xml:space="preserve">2a - </w:t>
        </w:r>
        <w:r w:rsidRPr="005D6B15">
          <w:rPr>
            <w:rStyle w:val="Hyperlink"/>
            <w:b/>
            <w:noProof/>
          </w:rPr>
          <w:t>Extending broadband deployment and the roll-out of high-speed networks and supporting the adoption of emerging technologies and networks for the digital economy</w:t>
        </w:r>
        <w:r>
          <w:tab/>
        </w:r>
        <w:r>
          <w:fldChar w:fldCharType="begin"/>
        </w:r>
        <w:r>
          <w:instrText xml:space="preserve"> PAGEREF _Toc256000050 \h </w:instrText>
        </w:r>
        <w:r>
          <w:fldChar w:fldCharType="separate"/>
        </w:r>
        <w:r>
          <w:t>77</w:t>
        </w:r>
        <w:r>
          <w:fldChar w:fldCharType="end"/>
        </w:r>
      </w:hyperlink>
    </w:p>
    <w:p>
      <w:pPr>
        <w:pStyle w:val="TOC2"/>
        <w:tabs>
          <w:tab w:val="right" w:leader="dot" w:pos="8613"/>
        </w:tabs>
        <w:rPr>
          <w:rFonts w:ascii="Calibri" w:hAnsi="Calibri"/>
          <w:noProof/>
          <w:sz w:val="22"/>
        </w:rPr>
      </w:pPr>
      <w:hyperlink w:anchor="_Toc256000051" w:history="1">
        <w:r>
          <w:rPr>
            <w:rStyle w:val="Hyperlink"/>
            <w:noProof/>
          </w:rPr>
          <w:t>2.A.4 Investment priority</w:t>
        </w:r>
        <w:r>
          <w:tab/>
        </w:r>
        <w:r>
          <w:fldChar w:fldCharType="begin"/>
        </w:r>
        <w:r>
          <w:instrText xml:space="preserve"> PAGEREF _Toc256000051 \h </w:instrText>
        </w:r>
        <w:r>
          <w:fldChar w:fldCharType="separate"/>
        </w:r>
        <w:r>
          <w:t>77</w:t>
        </w:r>
        <w:r>
          <w:fldChar w:fldCharType="end"/>
        </w:r>
      </w:hyperlink>
    </w:p>
    <w:p>
      <w:pPr>
        <w:pStyle w:val="TOC2"/>
        <w:tabs>
          <w:tab w:val="right" w:leader="dot" w:pos="8613"/>
        </w:tabs>
        <w:rPr>
          <w:rFonts w:ascii="Calibri" w:hAnsi="Calibri"/>
          <w:noProof/>
          <w:sz w:val="22"/>
        </w:rPr>
      </w:pPr>
      <w:hyperlink w:anchor="_Toc256000052" w:history="1">
        <w:r>
          <w:rPr>
            <w:rStyle w:val="Hyperlink"/>
            <w:noProof/>
          </w:rPr>
          <w:t>2.A.5 Specific objectives corresponding to the investment priority and expected results</w:t>
        </w:r>
        <w:r>
          <w:tab/>
        </w:r>
        <w:r>
          <w:fldChar w:fldCharType="begin"/>
        </w:r>
        <w:r>
          <w:instrText xml:space="preserve"> PAGEREF _Toc256000052 \h </w:instrText>
        </w:r>
        <w:r>
          <w:fldChar w:fldCharType="separate"/>
        </w:r>
        <w:r>
          <w:t>77</w:t>
        </w:r>
        <w:r>
          <w:fldChar w:fldCharType="end"/>
        </w:r>
      </w:hyperlink>
    </w:p>
    <w:p>
      <w:pPr>
        <w:pStyle w:val="TOC2"/>
        <w:tabs>
          <w:tab w:val="right" w:leader="dot" w:pos="8613"/>
        </w:tabs>
        <w:rPr>
          <w:rFonts w:ascii="Calibri" w:hAnsi="Calibri"/>
          <w:noProof/>
          <w:sz w:val="22"/>
        </w:rPr>
      </w:pPr>
      <w:hyperlink w:anchor="_Toc256000053" w:history="1">
        <w:r>
          <w:rPr>
            <w:rStyle w:val="Hyperlink"/>
            <w:noProof/>
          </w:rPr>
          <w:t>2.A.6 Action to be supported under the investment priority</w:t>
        </w:r>
        <w:r>
          <w:rPr>
            <w:rStyle w:val="Hyperlink"/>
          </w:rPr>
          <w:t xml:space="preserve"> </w:t>
        </w:r>
        <w:r>
          <w:rPr>
            <w:rStyle w:val="Hyperlink"/>
            <w:noProof/>
          </w:rPr>
          <w:t>(by investment priority)</w:t>
        </w:r>
        <w:r>
          <w:tab/>
        </w:r>
        <w:r>
          <w:fldChar w:fldCharType="begin"/>
        </w:r>
        <w:r>
          <w:instrText xml:space="preserve"> PAGEREF _Toc256000053 \h </w:instrText>
        </w:r>
        <w:r>
          <w:fldChar w:fldCharType="separate"/>
        </w:r>
        <w:r>
          <w:t>79</w:t>
        </w:r>
        <w:r>
          <w:fldChar w:fldCharType="end"/>
        </w:r>
      </w:hyperlink>
    </w:p>
    <w:p>
      <w:pPr>
        <w:pStyle w:val="TOC3"/>
        <w:tabs>
          <w:tab w:val="right" w:leader="dot" w:pos="8613"/>
        </w:tabs>
        <w:rPr>
          <w:rFonts w:ascii="Calibri" w:hAnsi="Calibri"/>
          <w:noProof/>
          <w:sz w:val="22"/>
        </w:rPr>
      </w:pPr>
      <w:hyperlink w:anchor="_Toc256000054" w:history="1">
        <w:r w:rsidRPr="0076169B">
          <w:rPr>
            <w:rStyle w:val="Hyperlink"/>
            <w:b/>
            <w:noProof/>
          </w:rPr>
          <w:t>2.A.6.1 Description of the type and examples of actions to be supported and their expected contribution to the specific objectives including, where appropriate, the identification of main target groups, specific territories targeted and types of beneficiaries</w:t>
        </w:r>
        <w:r>
          <w:tab/>
        </w:r>
        <w:r>
          <w:fldChar w:fldCharType="begin"/>
        </w:r>
        <w:r>
          <w:instrText xml:space="preserve"> PAGEREF _Toc256000054 \h </w:instrText>
        </w:r>
        <w:r>
          <w:fldChar w:fldCharType="separate"/>
        </w:r>
        <w:r>
          <w:t>79</w:t>
        </w:r>
        <w:r>
          <w:fldChar w:fldCharType="end"/>
        </w:r>
      </w:hyperlink>
    </w:p>
    <w:p>
      <w:pPr>
        <w:pStyle w:val="TOC3"/>
        <w:tabs>
          <w:tab w:val="right" w:leader="dot" w:pos="8613"/>
        </w:tabs>
        <w:rPr>
          <w:rFonts w:ascii="Calibri" w:hAnsi="Calibri"/>
          <w:noProof/>
          <w:sz w:val="22"/>
        </w:rPr>
      </w:pPr>
      <w:hyperlink w:anchor="_Toc256000055" w:history="1">
        <w:r>
          <w:rPr>
            <w:rStyle w:val="Hyperlink"/>
            <w:b/>
            <w:noProof/>
          </w:rPr>
          <w:t>2.A.6.2 Guiding principles for selection of operations</w:t>
        </w:r>
        <w:r>
          <w:tab/>
        </w:r>
        <w:r>
          <w:fldChar w:fldCharType="begin"/>
        </w:r>
        <w:r>
          <w:instrText xml:space="preserve"> PAGEREF _Toc256000055 \h </w:instrText>
        </w:r>
        <w:r>
          <w:fldChar w:fldCharType="separate"/>
        </w:r>
        <w:r>
          <w:t>84</w:t>
        </w:r>
        <w:r>
          <w:fldChar w:fldCharType="end"/>
        </w:r>
      </w:hyperlink>
    </w:p>
    <w:p>
      <w:pPr>
        <w:pStyle w:val="TOC3"/>
        <w:tabs>
          <w:tab w:val="right" w:leader="dot" w:pos="8613"/>
        </w:tabs>
        <w:rPr>
          <w:rFonts w:ascii="Calibri" w:hAnsi="Calibri"/>
          <w:noProof/>
          <w:sz w:val="22"/>
        </w:rPr>
      </w:pPr>
      <w:hyperlink w:anchor="_Toc256000056" w:history="1">
        <w:r>
          <w:rPr>
            <w:rStyle w:val="Hyperlink"/>
            <w:b/>
            <w:noProof/>
          </w:rPr>
          <w:t>2.A.6.3 Planned use of financial instruments</w:t>
        </w:r>
        <w:r>
          <w:rPr>
            <w:rStyle w:val="Hyperlink"/>
            <w:b/>
          </w:rPr>
          <w:t xml:space="preserve"> </w:t>
        </w:r>
        <w:r>
          <w:rPr>
            <w:rStyle w:val="Hyperlink"/>
            <w:noProof/>
          </w:rPr>
          <w:t>(where appropriate)</w:t>
        </w:r>
        <w:r>
          <w:tab/>
        </w:r>
        <w:r>
          <w:fldChar w:fldCharType="begin"/>
        </w:r>
        <w:r>
          <w:instrText xml:space="preserve"> PAGEREF _Toc256000056 \h </w:instrText>
        </w:r>
        <w:r>
          <w:fldChar w:fldCharType="separate"/>
        </w:r>
        <w:r>
          <w:t>84</w:t>
        </w:r>
        <w:r>
          <w:fldChar w:fldCharType="end"/>
        </w:r>
      </w:hyperlink>
    </w:p>
    <w:p>
      <w:pPr>
        <w:pStyle w:val="TOC3"/>
        <w:tabs>
          <w:tab w:val="right" w:leader="dot" w:pos="8613"/>
        </w:tabs>
        <w:rPr>
          <w:rFonts w:ascii="Calibri" w:hAnsi="Calibri"/>
          <w:noProof/>
          <w:sz w:val="22"/>
        </w:rPr>
      </w:pPr>
      <w:hyperlink w:anchor="_Toc256000057" w:history="1">
        <w:r w:rsidRPr="00164AE6">
          <w:rPr>
            <w:rStyle w:val="Hyperlink"/>
            <w:b/>
            <w:noProof/>
            <w:lang w:val="fr-BE"/>
          </w:rPr>
          <w:t>2.A.6.4 Planned use of major projects</w:t>
        </w:r>
        <w:r w:rsidRPr="00164AE6">
          <w:rPr>
            <w:rStyle w:val="Hyperlink"/>
            <w:lang w:val="fr-BE"/>
          </w:rPr>
          <w:t xml:space="preserve"> </w:t>
        </w:r>
        <w:r w:rsidRPr="00164AE6">
          <w:rPr>
            <w:rStyle w:val="Hyperlink"/>
            <w:noProof/>
            <w:lang w:val="fr-BE"/>
          </w:rPr>
          <w:t>(where appropriate)</w:t>
        </w:r>
        <w:r>
          <w:tab/>
        </w:r>
        <w:r>
          <w:fldChar w:fldCharType="begin"/>
        </w:r>
        <w:r>
          <w:instrText xml:space="preserve"> PAGEREF _Toc256000057 \h </w:instrText>
        </w:r>
        <w:r>
          <w:fldChar w:fldCharType="separate"/>
        </w:r>
        <w:r>
          <w:t>84</w:t>
        </w:r>
        <w:r>
          <w:fldChar w:fldCharType="end"/>
        </w:r>
      </w:hyperlink>
    </w:p>
    <w:p>
      <w:pPr>
        <w:pStyle w:val="TOC3"/>
        <w:tabs>
          <w:tab w:val="right" w:leader="dot" w:pos="8613"/>
        </w:tabs>
        <w:rPr>
          <w:rFonts w:ascii="Calibri" w:hAnsi="Calibri"/>
          <w:noProof/>
          <w:sz w:val="22"/>
        </w:rPr>
      </w:pPr>
      <w:hyperlink w:anchor="_Toc256000058" w:history="1">
        <w:r>
          <w:rPr>
            <w:rStyle w:val="Hyperlink"/>
            <w:b/>
            <w:noProof/>
          </w:rPr>
          <w:t>2.A.6.5 Output indicators by investment priority and, where appropriate by category of region</w:t>
        </w:r>
        <w:r>
          <w:tab/>
        </w:r>
        <w:r>
          <w:fldChar w:fldCharType="begin"/>
        </w:r>
        <w:r>
          <w:instrText xml:space="preserve"> PAGEREF _Toc256000058 \h </w:instrText>
        </w:r>
        <w:r>
          <w:fldChar w:fldCharType="separate"/>
        </w:r>
        <w:r>
          <w:t>85</w:t>
        </w:r>
        <w:r>
          <w:fldChar w:fldCharType="end"/>
        </w:r>
      </w:hyperlink>
    </w:p>
    <w:p>
      <w:pPr>
        <w:pStyle w:val="TOC3"/>
        <w:tabs>
          <w:tab w:val="right" w:leader="dot" w:pos="8613"/>
        </w:tabs>
        <w:rPr>
          <w:rFonts w:ascii="Calibri" w:hAnsi="Calibri"/>
          <w:noProof/>
          <w:sz w:val="22"/>
        </w:rPr>
      </w:pPr>
      <w:hyperlink w:anchor="_Toc256000059" w:history="1">
        <w:r>
          <w:rPr>
            <w:rStyle w:val="Hyperlink"/>
            <w:b/>
            <w:noProof/>
          </w:rPr>
          <w:t>Investment priority</w:t>
        </w:r>
        <w:r>
          <w:tab/>
        </w:r>
        <w:r>
          <w:fldChar w:fldCharType="begin"/>
        </w:r>
        <w:r>
          <w:instrText xml:space="preserve"> PAGEREF _Toc256000059 \h </w:instrText>
        </w:r>
        <w:r>
          <w:fldChar w:fldCharType="separate"/>
        </w:r>
        <w:r>
          <w:t>85</w:t>
        </w:r>
        <w:r>
          <w:fldChar w:fldCharType="end"/>
        </w:r>
      </w:hyperlink>
    </w:p>
    <w:p>
      <w:pPr>
        <w:pStyle w:val="TOC3"/>
        <w:tabs>
          <w:tab w:val="right" w:leader="dot" w:pos="8613"/>
        </w:tabs>
        <w:rPr>
          <w:rFonts w:ascii="Calibri" w:hAnsi="Calibri"/>
          <w:noProof/>
          <w:sz w:val="22"/>
        </w:rPr>
      </w:pPr>
      <w:hyperlink w:anchor="_Toc256000060" w:history="1">
        <w:r w:rsidRPr="005D6B15">
          <w:rPr>
            <w:rStyle w:val="Hyperlink"/>
            <w:b/>
            <w:noProof/>
          </w:rPr>
          <w:t xml:space="preserve">2b - </w:t>
        </w:r>
        <w:r w:rsidRPr="005D6B15">
          <w:rPr>
            <w:rStyle w:val="Hyperlink"/>
            <w:b/>
            <w:noProof/>
          </w:rPr>
          <w:t>Developing ICT products and services, e-commerce and enhancing demand for ICT</w:t>
        </w:r>
        <w:r>
          <w:tab/>
        </w:r>
        <w:r>
          <w:fldChar w:fldCharType="begin"/>
        </w:r>
        <w:r>
          <w:instrText xml:space="preserve"> PAGEREF _Toc256000060 \h </w:instrText>
        </w:r>
        <w:r>
          <w:fldChar w:fldCharType="separate"/>
        </w:r>
        <w:r>
          <w:t>85</w:t>
        </w:r>
        <w:r>
          <w:fldChar w:fldCharType="end"/>
        </w:r>
      </w:hyperlink>
    </w:p>
    <w:p>
      <w:pPr>
        <w:pStyle w:val="TOC2"/>
        <w:tabs>
          <w:tab w:val="right" w:leader="dot" w:pos="8613"/>
        </w:tabs>
        <w:rPr>
          <w:rFonts w:ascii="Calibri" w:hAnsi="Calibri"/>
          <w:noProof/>
          <w:sz w:val="22"/>
        </w:rPr>
      </w:pPr>
      <w:hyperlink w:anchor="_Toc256000061" w:history="1">
        <w:r>
          <w:rPr>
            <w:rStyle w:val="Hyperlink"/>
            <w:noProof/>
          </w:rPr>
          <w:t>2.A.4 Investment priority</w:t>
        </w:r>
        <w:r>
          <w:tab/>
        </w:r>
        <w:r>
          <w:fldChar w:fldCharType="begin"/>
        </w:r>
        <w:r>
          <w:instrText xml:space="preserve"> PAGEREF _Toc256000061 \h </w:instrText>
        </w:r>
        <w:r>
          <w:fldChar w:fldCharType="separate"/>
        </w:r>
        <w:r>
          <w:t>85</w:t>
        </w:r>
        <w:r>
          <w:fldChar w:fldCharType="end"/>
        </w:r>
      </w:hyperlink>
    </w:p>
    <w:p>
      <w:pPr>
        <w:pStyle w:val="TOC2"/>
        <w:tabs>
          <w:tab w:val="right" w:leader="dot" w:pos="8613"/>
        </w:tabs>
        <w:rPr>
          <w:rFonts w:ascii="Calibri" w:hAnsi="Calibri"/>
          <w:noProof/>
          <w:sz w:val="22"/>
        </w:rPr>
      </w:pPr>
      <w:hyperlink w:anchor="_Toc256000062" w:history="1">
        <w:r>
          <w:rPr>
            <w:rStyle w:val="Hyperlink"/>
            <w:noProof/>
          </w:rPr>
          <w:t>2.A.5 Specific objectives corresponding to the investment priority and expected results</w:t>
        </w:r>
        <w:r>
          <w:tab/>
        </w:r>
        <w:r>
          <w:fldChar w:fldCharType="begin"/>
        </w:r>
        <w:r>
          <w:instrText xml:space="preserve"> PAGEREF _Toc256000062 \h </w:instrText>
        </w:r>
        <w:r>
          <w:fldChar w:fldCharType="separate"/>
        </w:r>
        <w:r>
          <w:t>85</w:t>
        </w:r>
        <w:r>
          <w:fldChar w:fldCharType="end"/>
        </w:r>
      </w:hyperlink>
    </w:p>
    <w:p>
      <w:pPr>
        <w:pStyle w:val="TOC2"/>
        <w:tabs>
          <w:tab w:val="right" w:leader="dot" w:pos="8613"/>
        </w:tabs>
        <w:rPr>
          <w:rFonts w:ascii="Calibri" w:hAnsi="Calibri"/>
          <w:noProof/>
          <w:sz w:val="22"/>
        </w:rPr>
      </w:pPr>
      <w:hyperlink w:anchor="_Toc256000063" w:history="1">
        <w:r>
          <w:rPr>
            <w:rStyle w:val="Hyperlink"/>
            <w:noProof/>
          </w:rPr>
          <w:t>2.A.6 Action to be supported under the investment priority</w:t>
        </w:r>
        <w:r>
          <w:rPr>
            <w:rStyle w:val="Hyperlink"/>
          </w:rPr>
          <w:t xml:space="preserve"> </w:t>
        </w:r>
        <w:r>
          <w:rPr>
            <w:rStyle w:val="Hyperlink"/>
            <w:noProof/>
          </w:rPr>
          <w:t>(by investment priority)</w:t>
        </w:r>
        <w:r>
          <w:tab/>
        </w:r>
        <w:r>
          <w:fldChar w:fldCharType="begin"/>
        </w:r>
        <w:r>
          <w:instrText xml:space="preserve"> PAGEREF _Toc256000063 \h </w:instrText>
        </w:r>
        <w:r>
          <w:fldChar w:fldCharType="separate"/>
        </w:r>
        <w:r>
          <w:t>87</w:t>
        </w:r>
        <w:r>
          <w:fldChar w:fldCharType="end"/>
        </w:r>
      </w:hyperlink>
    </w:p>
    <w:p>
      <w:pPr>
        <w:pStyle w:val="TOC3"/>
        <w:tabs>
          <w:tab w:val="right" w:leader="dot" w:pos="8613"/>
        </w:tabs>
        <w:rPr>
          <w:rFonts w:ascii="Calibri" w:hAnsi="Calibri"/>
          <w:noProof/>
          <w:sz w:val="22"/>
        </w:rPr>
      </w:pPr>
      <w:hyperlink w:anchor="_Toc256000064" w:history="1">
        <w:r w:rsidRPr="0076169B">
          <w:rPr>
            <w:rStyle w:val="Hyperlink"/>
            <w:b/>
            <w:noProof/>
          </w:rPr>
          <w:t>2.A.6.1 Description of the type and examples of actions to be supported and their expected contribution to the specific objectives including, where appropriate, the identification of main target groups, specific territories targeted and types of beneficiaries</w:t>
        </w:r>
        <w:r>
          <w:tab/>
        </w:r>
        <w:r>
          <w:fldChar w:fldCharType="begin"/>
        </w:r>
        <w:r>
          <w:instrText xml:space="preserve"> PAGEREF _Toc256000064 \h </w:instrText>
        </w:r>
        <w:r>
          <w:fldChar w:fldCharType="separate"/>
        </w:r>
        <w:r>
          <w:t>87</w:t>
        </w:r>
        <w:r>
          <w:fldChar w:fldCharType="end"/>
        </w:r>
      </w:hyperlink>
    </w:p>
    <w:p>
      <w:pPr>
        <w:pStyle w:val="TOC3"/>
        <w:tabs>
          <w:tab w:val="right" w:leader="dot" w:pos="8613"/>
        </w:tabs>
        <w:rPr>
          <w:rFonts w:ascii="Calibri" w:hAnsi="Calibri"/>
          <w:noProof/>
          <w:sz w:val="22"/>
        </w:rPr>
      </w:pPr>
      <w:hyperlink w:anchor="_Toc256000065" w:history="1">
        <w:r>
          <w:rPr>
            <w:rStyle w:val="Hyperlink"/>
            <w:b/>
            <w:noProof/>
          </w:rPr>
          <w:t>2.A.6.2 Guiding principles for selection of operations</w:t>
        </w:r>
        <w:r>
          <w:tab/>
        </w:r>
        <w:r>
          <w:fldChar w:fldCharType="begin"/>
        </w:r>
        <w:r>
          <w:instrText xml:space="preserve"> PAGEREF _Toc256000065 \h </w:instrText>
        </w:r>
        <w:r>
          <w:fldChar w:fldCharType="separate"/>
        </w:r>
        <w:r>
          <w:t>99</w:t>
        </w:r>
        <w:r>
          <w:fldChar w:fldCharType="end"/>
        </w:r>
      </w:hyperlink>
    </w:p>
    <w:p>
      <w:pPr>
        <w:pStyle w:val="TOC3"/>
        <w:tabs>
          <w:tab w:val="right" w:leader="dot" w:pos="8613"/>
        </w:tabs>
        <w:rPr>
          <w:rFonts w:ascii="Calibri" w:hAnsi="Calibri"/>
          <w:noProof/>
          <w:sz w:val="22"/>
        </w:rPr>
      </w:pPr>
      <w:hyperlink w:anchor="_Toc256000066" w:history="1">
        <w:r>
          <w:rPr>
            <w:rStyle w:val="Hyperlink"/>
            <w:b/>
            <w:noProof/>
          </w:rPr>
          <w:t>2.A.6.3 Planned use of financial instruments</w:t>
        </w:r>
        <w:r>
          <w:rPr>
            <w:rStyle w:val="Hyperlink"/>
            <w:b/>
          </w:rPr>
          <w:t xml:space="preserve"> </w:t>
        </w:r>
        <w:r>
          <w:rPr>
            <w:rStyle w:val="Hyperlink"/>
            <w:noProof/>
          </w:rPr>
          <w:t>(where appropriate)</w:t>
        </w:r>
        <w:r>
          <w:tab/>
        </w:r>
        <w:r>
          <w:fldChar w:fldCharType="begin"/>
        </w:r>
        <w:r>
          <w:instrText xml:space="preserve"> PAGEREF _Toc256000066 \h </w:instrText>
        </w:r>
        <w:r>
          <w:fldChar w:fldCharType="separate"/>
        </w:r>
        <w:r>
          <w:t>100</w:t>
        </w:r>
        <w:r>
          <w:fldChar w:fldCharType="end"/>
        </w:r>
      </w:hyperlink>
    </w:p>
    <w:p>
      <w:pPr>
        <w:pStyle w:val="TOC3"/>
        <w:tabs>
          <w:tab w:val="right" w:leader="dot" w:pos="8613"/>
        </w:tabs>
        <w:rPr>
          <w:rFonts w:ascii="Calibri" w:hAnsi="Calibri"/>
          <w:noProof/>
          <w:sz w:val="22"/>
        </w:rPr>
      </w:pPr>
      <w:hyperlink w:anchor="_Toc256000067" w:history="1">
        <w:r w:rsidRPr="00164AE6">
          <w:rPr>
            <w:rStyle w:val="Hyperlink"/>
            <w:b/>
            <w:noProof/>
            <w:lang w:val="fr-BE"/>
          </w:rPr>
          <w:t>2.A.6.4 Planned use of major projects</w:t>
        </w:r>
        <w:r w:rsidRPr="00164AE6">
          <w:rPr>
            <w:rStyle w:val="Hyperlink"/>
            <w:lang w:val="fr-BE"/>
          </w:rPr>
          <w:t xml:space="preserve"> </w:t>
        </w:r>
        <w:r w:rsidRPr="00164AE6">
          <w:rPr>
            <w:rStyle w:val="Hyperlink"/>
            <w:noProof/>
            <w:lang w:val="fr-BE"/>
          </w:rPr>
          <w:t>(where appropriate)</w:t>
        </w:r>
        <w:r>
          <w:tab/>
        </w:r>
        <w:r>
          <w:fldChar w:fldCharType="begin"/>
        </w:r>
        <w:r>
          <w:instrText xml:space="preserve"> PAGEREF _Toc256000067 \h </w:instrText>
        </w:r>
        <w:r>
          <w:fldChar w:fldCharType="separate"/>
        </w:r>
        <w:r>
          <w:t>100</w:t>
        </w:r>
        <w:r>
          <w:fldChar w:fldCharType="end"/>
        </w:r>
      </w:hyperlink>
    </w:p>
    <w:p>
      <w:pPr>
        <w:pStyle w:val="TOC3"/>
        <w:tabs>
          <w:tab w:val="right" w:leader="dot" w:pos="8613"/>
        </w:tabs>
        <w:rPr>
          <w:rFonts w:ascii="Calibri" w:hAnsi="Calibri"/>
          <w:noProof/>
          <w:sz w:val="22"/>
        </w:rPr>
      </w:pPr>
      <w:hyperlink w:anchor="_Toc256000068" w:history="1">
        <w:r>
          <w:rPr>
            <w:rStyle w:val="Hyperlink"/>
            <w:b/>
            <w:noProof/>
          </w:rPr>
          <w:t>2.A.6.5 Output indicators by investment priority and, where appropriate by category of region</w:t>
        </w:r>
        <w:r>
          <w:tab/>
        </w:r>
        <w:r>
          <w:fldChar w:fldCharType="begin"/>
        </w:r>
        <w:r>
          <w:instrText xml:space="preserve"> PAGEREF _Toc256000068 \h </w:instrText>
        </w:r>
        <w:r>
          <w:fldChar w:fldCharType="separate"/>
        </w:r>
        <w:r>
          <w:t>101</w:t>
        </w:r>
        <w:r>
          <w:fldChar w:fldCharType="end"/>
        </w:r>
      </w:hyperlink>
    </w:p>
    <w:p>
      <w:pPr>
        <w:pStyle w:val="TOC3"/>
        <w:tabs>
          <w:tab w:val="right" w:leader="dot" w:pos="8613"/>
        </w:tabs>
        <w:rPr>
          <w:rFonts w:ascii="Calibri" w:hAnsi="Calibri"/>
          <w:noProof/>
          <w:sz w:val="22"/>
        </w:rPr>
      </w:pPr>
      <w:hyperlink w:anchor="_Toc256000069" w:history="1">
        <w:r>
          <w:rPr>
            <w:rStyle w:val="Hyperlink"/>
            <w:b/>
            <w:noProof/>
          </w:rPr>
          <w:t>Investment priority</w:t>
        </w:r>
        <w:r>
          <w:tab/>
        </w:r>
        <w:r>
          <w:fldChar w:fldCharType="begin"/>
        </w:r>
        <w:r>
          <w:instrText xml:space="preserve"> PAGEREF _Toc256000069 \h </w:instrText>
        </w:r>
        <w:r>
          <w:fldChar w:fldCharType="separate"/>
        </w:r>
        <w:r>
          <w:t>101</w:t>
        </w:r>
        <w:r>
          <w:fldChar w:fldCharType="end"/>
        </w:r>
      </w:hyperlink>
    </w:p>
    <w:p>
      <w:pPr>
        <w:pStyle w:val="TOC3"/>
        <w:tabs>
          <w:tab w:val="right" w:leader="dot" w:pos="8613"/>
        </w:tabs>
        <w:rPr>
          <w:rFonts w:ascii="Calibri" w:hAnsi="Calibri"/>
          <w:noProof/>
          <w:sz w:val="22"/>
        </w:rPr>
      </w:pPr>
      <w:hyperlink w:anchor="_Toc256000070" w:history="1">
        <w:r w:rsidRPr="005D6B15">
          <w:rPr>
            <w:rStyle w:val="Hyperlink"/>
            <w:b/>
            <w:noProof/>
          </w:rPr>
          <w:t xml:space="preserve">2c - </w:t>
        </w:r>
        <w:r w:rsidRPr="005D6B15">
          <w:rPr>
            <w:rStyle w:val="Hyperlink"/>
            <w:b/>
            <w:noProof/>
          </w:rPr>
          <w:t>Strengthening ICT applications for e-government, e-learning, e-inclusion, e-culture and e-health</w:t>
        </w:r>
        <w:r>
          <w:tab/>
        </w:r>
        <w:r>
          <w:fldChar w:fldCharType="begin"/>
        </w:r>
        <w:r>
          <w:instrText xml:space="preserve"> PAGEREF _Toc256000070 \h </w:instrText>
        </w:r>
        <w:r>
          <w:fldChar w:fldCharType="separate"/>
        </w:r>
        <w:r>
          <w:t>101</w:t>
        </w:r>
        <w:r>
          <w:fldChar w:fldCharType="end"/>
        </w:r>
      </w:hyperlink>
    </w:p>
    <w:p>
      <w:pPr>
        <w:pStyle w:val="TOC2"/>
        <w:tabs>
          <w:tab w:val="right" w:leader="dot" w:pos="8613"/>
        </w:tabs>
        <w:rPr>
          <w:rFonts w:ascii="Calibri" w:hAnsi="Calibri"/>
          <w:noProof/>
          <w:sz w:val="22"/>
        </w:rPr>
      </w:pPr>
      <w:hyperlink w:anchor="_Toc256000071" w:history="1">
        <w:r>
          <w:rPr>
            <w:rStyle w:val="Hyperlink"/>
            <w:noProof/>
          </w:rPr>
          <w:t>2.A.7 Social innovation, transnational cooperation and contribution to thematic objectives 1-7</w:t>
        </w:r>
        <w:r>
          <w:tab/>
        </w:r>
        <w:r>
          <w:fldChar w:fldCharType="begin"/>
        </w:r>
        <w:r>
          <w:instrText xml:space="preserve"> PAGEREF _Toc256000071 \h </w:instrText>
        </w:r>
        <w:r>
          <w:fldChar w:fldCharType="separate"/>
        </w:r>
        <w:r>
          <w:t>101</w:t>
        </w:r>
        <w:r>
          <w:fldChar w:fldCharType="end"/>
        </w:r>
      </w:hyperlink>
    </w:p>
    <w:p>
      <w:pPr>
        <w:pStyle w:val="TOC2"/>
        <w:tabs>
          <w:tab w:val="right" w:leader="dot" w:pos="8613"/>
        </w:tabs>
        <w:rPr>
          <w:rFonts w:ascii="Calibri" w:hAnsi="Calibri"/>
          <w:noProof/>
          <w:sz w:val="22"/>
        </w:rPr>
      </w:pPr>
      <w:hyperlink w:anchor="_Toc256000072" w:history="1">
        <w:r>
          <w:rPr>
            <w:rStyle w:val="Hyperlink"/>
            <w:noProof/>
          </w:rPr>
          <w:t>2.A.8 Performance framework</w:t>
        </w:r>
        <w:r>
          <w:tab/>
        </w:r>
        <w:r>
          <w:fldChar w:fldCharType="begin"/>
        </w:r>
        <w:r>
          <w:instrText xml:space="preserve"> PAGEREF _Toc256000072 \h </w:instrText>
        </w:r>
        <w:r>
          <w:fldChar w:fldCharType="separate"/>
        </w:r>
        <w:r>
          <w:t>102</w:t>
        </w:r>
        <w:r>
          <w:fldChar w:fldCharType="end"/>
        </w:r>
      </w:hyperlink>
    </w:p>
    <w:p>
      <w:pPr>
        <w:pStyle w:val="TOC2"/>
        <w:tabs>
          <w:tab w:val="right" w:leader="dot" w:pos="8613"/>
        </w:tabs>
        <w:rPr>
          <w:rFonts w:ascii="Calibri" w:hAnsi="Calibri"/>
          <w:noProof/>
          <w:sz w:val="22"/>
        </w:rPr>
      </w:pPr>
      <w:hyperlink w:anchor="_Toc256000073" w:history="1">
        <w:r>
          <w:rPr>
            <w:rStyle w:val="Hyperlink"/>
            <w:noProof/>
          </w:rPr>
          <w:t>2.A.9 Categories of intervention</w:t>
        </w:r>
        <w:r>
          <w:tab/>
        </w:r>
        <w:r>
          <w:fldChar w:fldCharType="begin"/>
        </w:r>
        <w:r>
          <w:instrText xml:space="preserve"> PAGEREF _Toc256000073 \h </w:instrText>
        </w:r>
        <w:r>
          <w:fldChar w:fldCharType="separate"/>
        </w:r>
        <w:r>
          <w:t>104</w:t>
        </w:r>
        <w:r>
          <w:fldChar w:fldCharType="end"/>
        </w:r>
      </w:hyperlink>
    </w:p>
    <w:p>
      <w:pPr>
        <w:pStyle w:val="TOC2"/>
        <w:tabs>
          <w:tab w:val="right" w:leader="dot" w:pos="8613"/>
        </w:tabs>
        <w:rPr>
          <w:rFonts w:ascii="Calibri" w:hAnsi="Calibri"/>
          <w:noProof/>
          <w:sz w:val="22"/>
        </w:rPr>
      </w:pPr>
      <w:hyperlink w:anchor="_Toc256000074" w:history="1">
        <w:r>
          <w:rPr>
            <w:rStyle w:val="Hyperlink"/>
            <w:noProof/>
          </w:rPr>
          <w:t>2.A.10 Summary of the planned use of technical assistance including, where necessary, actions to reinforce the administrative capacity of authorities involved in the management and control of the programmes and beneficiaries</w:t>
        </w:r>
        <w:r>
          <w:rPr>
            <w:rStyle w:val="Hyperlink"/>
          </w:rPr>
          <w:t xml:space="preserve"> </w:t>
        </w:r>
        <w:r>
          <w:rPr>
            <w:rStyle w:val="Hyperlink"/>
            <w:noProof/>
          </w:rPr>
          <w:t>(where appropriate)</w:t>
        </w:r>
        <w:r>
          <w:rPr>
            <w:rStyle w:val="Hyperlink"/>
          </w:rPr>
          <w:t xml:space="preserve"> </w:t>
        </w:r>
        <w:r>
          <w:rPr>
            <w:rStyle w:val="Hyperlink"/>
            <w:noProof/>
          </w:rPr>
          <w:t>(by priority axis)</w:t>
        </w:r>
        <w:r>
          <w:tab/>
        </w:r>
        <w:r>
          <w:fldChar w:fldCharType="begin"/>
        </w:r>
        <w:r>
          <w:instrText xml:space="preserve"> PAGEREF _Toc256000074 \h </w:instrText>
        </w:r>
        <w:r>
          <w:fldChar w:fldCharType="separate"/>
        </w:r>
        <w:r>
          <w:t>105</w:t>
        </w:r>
        <w:r>
          <w:fldChar w:fldCharType="end"/>
        </w:r>
      </w:hyperlink>
    </w:p>
    <w:p>
      <w:pPr>
        <w:pStyle w:val="TOC2"/>
        <w:tabs>
          <w:tab w:val="right" w:leader="dot" w:pos="8613"/>
        </w:tabs>
        <w:rPr>
          <w:rFonts w:ascii="Calibri" w:hAnsi="Calibri"/>
          <w:noProof/>
          <w:sz w:val="22"/>
        </w:rPr>
      </w:pPr>
      <w:hyperlink w:anchor="_Toc256000075" w:history="1">
        <w:r w:rsidRPr="009F202D">
          <w:rPr>
            <w:rStyle w:val="Hyperlink"/>
            <w:noProof/>
            <w:lang w:val="fr-BE"/>
          </w:rPr>
          <w:t>2.A.1 Priority axis</w:t>
        </w:r>
        <w:r>
          <w:tab/>
        </w:r>
        <w:r>
          <w:fldChar w:fldCharType="begin"/>
        </w:r>
        <w:r>
          <w:instrText xml:space="preserve"> PAGEREF _Toc256000075 \h </w:instrText>
        </w:r>
        <w:r>
          <w:fldChar w:fldCharType="separate"/>
        </w:r>
        <w:r>
          <w:t>107</w:t>
        </w:r>
        <w:r>
          <w:fldChar w:fldCharType="end"/>
        </w:r>
      </w:hyperlink>
    </w:p>
    <w:p>
      <w:pPr>
        <w:pStyle w:val="TOC2"/>
        <w:tabs>
          <w:tab w:val="right" w:leader="dot" w:pos="8613"/>
        </w:tabs>
        <w:rPr>
          <w:rFonts w:ascii="Calibri" w:hAnsi="Calibri"/>
          <w:noProof/>
          <w:sz w:val="22"/>
        </w:rPr>
      </w:pPr>
      <w:hyperlink w:anchor="_Toc256000076" w:history="1">
        <w:r>
          <w:rPr>
            <w:rStyle w:val="Hyperlink"/>
            <w:noProof/>
          </w:rPr>
          <w:t>2.A.2 Justification for the establishment of a priority axis covering more than one category of region, thematic objective or fund</w:t>
        </w:r>
        <w:r>
          <w:rPr>
            <w:rStyle w:val="Hyperlink"/>
          </w:rPr>
          <w:t xml:space="preserve"> </w:t>
        </w:r>
        <w:r>
          <w:rPr>
            <w:rStyle w:val="Hyperlink"/>
            <w:noProof/>
          </w:rPr>
          <w:t>(where applicable)</w:t>
        </w:r>
        <w:r>
          <w:tab/>
        </w:r>
        <w:r>
          <w:fldChar w:fldCharType="begin"/>
        </w:r>
        <w:r>
          <w:instrText xml:space="preserve"> PAGEREF _Toc256000076 \h </w:instrText>
        </w:r>
        <w:r>
          <w:fldChar w:fldCharType="separate"/>
        </w:r>
        <w:r>
          <w:t>107</w:t>
        </w:r>
        <w:r>
          <w:fldChar w:fldCharType="end"/>
        </w:r>
      </w:hyperlink>
    </w:p>
    <w:p>
      <w:pPr>
        <w:pStyle w:val="TOC2"/>
        <w:tabs>
          <w:tab w:val="right" w:leader="dot" w:pos="8613"/>
        </w:tabs>
        <w:rPr>
          <w:rFonts w:ascii="Calibri" w:hAnsi="Calibri"/>
          <w:noProof/>
          <w:sz w:val="22"/>
        </w:rPr>
      </w:pPr>
      <w:hyperlink w:anchor="_Toc256000077" w:history="1">
        <w:r>
          <w:rPr>
            <w:rStyle w:val="Hyperlink"/>
            <w:noProof/>
          </w:rPr>
          <w:t>2.A.3 Fund, category of region and calculation basis for Union support</w:t>
        </w:r>
        <w:r>
          <w:tab/>
        </w:r>
        <w:r>
          <w:fldChar w:fldCharType="begin"/>
        </w:r>
        <w:r>
          <w:instrText xml:space="preserve"> PAGEREF _Toc256000077 \h </w:instrText>
        </w:r>
        <w:r>
          <w:fldChar w:fldCharType="separate"/>
        </w:r>
        <w:r>
          <w:t>107</w:t>
        </w:r>
        <w:r>
          <w:fldChar w:fldCharType="end"/>
        </w:r>
      </w:hyperlink>
    </w:p>
    <w:p>
      <w:pPr>
        <w:pStyle w:val="TOC2"/>
        <w:tabs>
          <w:tab w:val="right" w:leader="dot" w:pos="8613"/>
        </w:tabs>
        <w:rPr>
          <w:rFonts w:ascii="Calibri" w:hAnsi="Calibri"/>
          <w:noProof/>
          <w:sz w:val="22"/>
        </w:rPr>
      </w:pPr>
      <w:hyperlink w:anchor="_Toc256000078" w:history="1">
        <w:r>
          <w:rPr>
            <w:rStyle w:val="Hyperlink"/>
            <w:noProof/>
          </w:rPr>
          <w:t>2.A.4 Investment priority</w:t>
        </w:r>
        <w:r>
          <w:tab/>
        </w:r>
        <w:r>
          <w:fldChar w:fldCharType="begin"/>
        </w:r>
        <w:r>
          <w:instrText xml:space="preserve"> PAGEREF _Toc256000078 \h </w:instrText>
        </w:r>
        <w:r>
          <w:fldChar w:fldCharType="separate"/>
        </w:r>
        <w:r>
          <w:t>107</w:t>
        </w:r>
        <w:r>
          <w:fldChar w:fldCharType="end"/>
        </w:r>
      </w:hyperlink>
    </w:p>
    <w:p>
      <w:pPr>
        <w:pStyle w:val="TOC2"/>
        <w:tabs>
          <w:tab w:val="right" w:leader="dot" w:pos="8613"/>
        </w:tabs>
        <w:rPr>
          <w:rFonts w:ascii="Calibri" w:hAnsi="Calibri"/>
          <w:noProof/>
          <w:sz w:val="22"/>
        </w:rPr>
      </w:pPr>
      <w:hyperlink w:anchor="_Toc256000079" w:history="1">
        <w:r>
          <w:rPr>
            <w:rStyle w:val="Hyperlink"/>
            <w:noProof/>
          </w:rPr>
          <w:t>2.A.5 Specific objectives corresponding to the investment priority and expected results</w:t>
        </w:r>
        <w:r>
          <w:tab/>
        </w:r>
        <w:r>
          <w:fldChar w:fldCharType="begin"/>
        </w:r>
        <w:r>
          <w:instrText xml:space="preserve"> PAGEREF _Toc256000079 \h </w:instrText>
        </w:r>
        <w:r>
          <w:fldChar w:fldCharType="separate"/>
        </w:r>
        <w:r>
          <w:t>107</w:t>
        </w:r>
        <w:r>
          <w:fldChar w:fldCharType="end"/>
        </w:r>
      </w:hyperlink>
    </w:p>
    <w:p>
      <w:pPr>
        <w:pStyle w:val="TOC2"/>
        <w:tabs>
          <w:tab w:val="right" w:leader="dot" w:pos="8613"/>
        </w:tabs>
        <w:rPr>
          <w:rFonts w:ascii="Calibri" w:hAnsi="Calibri"/>
          <w:noProof/>
          <w:sz w:val="22"/>
        </w:rPr>
      </w:pPr>
      <w:hyperlink w:anchor="_Toc256000080" w:history="1">
        <w:r>
          <w:rPr>
            <w:rStyle w:val="Hyperlink"/>
            <w:noProof/>
          </w:rPr>
          <w:t>2.A.6 Action to be supported under the investment priority</w:t>
        </w:r>
        <w:r>
          <w:rPr>
            <w:rStyle w:val="Hyperlink"/>
          </w:rPr>
          <w:t xml:space="preserve"> </w:t>
        </w:r>
        <w:r>
          <w:rPr>
            <w:rStyle w:val="Hyperlink"/>
            <w:noProof/>
          </w:rPr>
          <w:t>(by investment priority)</w:t>
        </w:r>
        <w:r>
          <w:tab/>
        </w:r>
        <w:r>
          <w:fldChar w:fldCharType="begin"/>
        </w:r>
        <w:r>
          <w:instrText xml:space="preserve"> PAGEREF _Toc256000080 \h </w:instrText>
        </w:r>
        <w:r>
          <w:fldChar w:fldCharType="separate"/>
        </w:r>
        <w:r>
          <w:t>110</w:t>
        </w:r>
        <w:r>
          <w:fldChar w:fldCharType="end"/>
        </w:r>
      </w:hyperlink>
    </w:p>
    <w:p>
      <w:pPr>
        <w:pStyle w:val="TOC3"/>
        <w:tabs>
          <w:tab w:val="right" w:leader="dot" w:pos="8613"/>
        </w:tabs>
        <w:rPr>
          <w:rFonts w:ascii="Calibri" w:hAnsi="Calibri"/>
          <w:noProof/>
          <w:sz w:val="22"/>
        </w:rPr>
      </w:pPr>
      <w:hyperlink w:anchor="_Toc256000081" w:history="1">
        <w:r w:rsidRPr="0076169B">
          <w:rPr>
            <w:rStyle w:val="Hyperlink"/>
            <w:b/>
            <w:noProof/>
          </w:rPr>
          <w:t>2.A.6.1 Description of the type and examples of actions to be supported and their expected contribution to the specific objectives including, where appropriate, the identification of main target groups, specific territories targeted and types of beneficiaries</w:t>
        </w:r>
        <w:r>
          <w:tab/>
        </w:r>
        <w:r>
          <w:fldChar w:fldCharType="begin"/>
        </w:r>
        <w:r>
          <w:instrText xml:space="preserve"> PAGEREF _Toc256000081 \h </w:instrText>
        </w:r>
        <w:r>
          <w:fldChar w:fldCharType="separate"/>
        </w:r>
        <w:r>
          <w:t>110</w:t>
        </w:r>
        <w:r>
          <w:fldChar w:fldCharType="end"/>
        </w:r>
      </w:hyperlink>
    </w:p>
    <w:p>
      <w:pPr>
        <w:pStyle w:val="TOC3"/>
        <w:tabs>
          <w:tab w:val="right" w:leader="dot" w:pos="8613"/>
        </w:tabs>
        <w:rPr>
          <w:rFonts w:ascii="Calibri" w:hAnsi="Calibri"/>
          <w:noProof/>
          <w:sz w:val="22"/>
        </w:rPr>
      </w:pPr>
      <w:hyperlink w:anchor="_Toc256000082" w:history="1">
        <w:r>
          <w:rPr>
            <w:rStyle w:val="Hyperlink"/>
            <w:b/>
            <w:noProof/>
          </w:rPr>
          <w:t>2.A.6.2 Guiding principles for selection of operations</w:t>
        </w:r>
        <w:r>
          <w:tab/>
        </w:r>
        <w:r>
          <w:fldChar w:fldCharType="begin"/>
        </w:r>
        <w:r>
          <w:instrText xml:space="preserve"> PAGEREF _Toc256000082 \h </w:instrText>
        </w:r>
        <w:r>
          <w:fldChar w:fldCharType="separate"/>
        </w:r>
        <w:r>
          <w:t>114</w:t>
        </w:r>
        <w:r>
          <w:fldChar w:fldCharType="end"/>
        </w:r>
      </w:hyperlink>
    </w:p>
    <w:p>
      <w:pPr>
        <w:pStyle w:val="TOC3"/>
        <w:tabs>
          <w:tab w:val="right" w:leader="dot" w:pos="8613"/>
        </w:tabs>
        <w:rPr>
          <w:rFonts w:ascii="Calibri" w:hAnsi="Calibri"/>
          <w:noProof/>
          <w:sz w:val="22"/>
        </w:rPr>
      </w:pPr>
      <w:hyperlink w:anchor="_Toc256000083" w:history="1">
        <w:r>
          <w:rPr>
            <w:rStyle w:val="Hyperlink"/>
            <w:b/>
            <w:noProof/>
          </w:rPr>
          <w:t>2.A.6.3 Planned use of financial instruments</w:t>
        </w:r>
        <w:r>
          <w:rPr>
            <w:rStyle w:val="Hyperlink"/>
            <w:b/>
          </w:rPr>
          <w:t xml:space="preserve"> </w:t>
        </w:r>
        <w:r>
          <w:rPr>
            <w:rStyle w:val="Hyperlink"/>
            <w:noProof/>
          </w:rPr>
          <w:t>(where appropriate)</w:t>
        </w:r>
        <w:r>
          <w:tab/>
        </w:r>
        <w:r>
          <w:fldChar w:fldCharType="begin"/>
        </w:r>
        <w:r>
          <w:instrText xml:space="preserve"> PAGEREF _Toc256000083 \h </w:instrText>
        </w:r>
        <w:r>
          <w:fldChar w:fldCharType="separate"/>
        </w:r>
        <w:r>
          <w:t>114</w:t>
        </w:r>
        <w:r>
          <w:fldChar w:fldCharType="end"/>
        </w:r>
      </w:hyperlink>
    </w:p>
    <w:p>
      <w:pPr>
        <w:pStyle w:val="TOC3"/>
        <w:tabs>
          <w:tab w:val="right" w:leader="dot" w:pos="8613"/>
        </w:tabs>
        <w:rPr>
          <w:rFonts w:ascii="Calibri" w:hAnsi="Calibri"/>
          <w:noProof/>
          <w:sz w:val="22"/>
        </w:rPr>
      </w:pPr>
      <w:hyperlink w:anchor="_Toc256000084" w:history="1">
        <w:r w:rsidRPr="00164AE6">
          <w:rPr>
            <w:rStyle w:val="Hyperlink"/>
            <w:b/>
            <w:noProof/>
            <w:lang w:val="fr-BE"/>
          </w:rPr>
          <w:t>2.A.6.4 Planned use of major projects</w:t>
        </w:r>
        <w:r w:rsidRPr="00164AE6">
          <w:rPr>
            <w:rStyle w:val="Hyperlink"/>
            <w:lang w:val="fr-BE"/>
          </w:rPr>
          <w:t xml:space="preserve"> </w:t>
        </w:r>
        <w:r w:rsidRPr="00164AE6">
          <w:rPr>
            <w:rStyle w:val="Hyperlink"/>
            <w:noProof/>
            <w:lang w:val="fr-BE"/>
          </w:rPr>
          <w:t>(where appropriate)</w:t>
        </w:r>
        <w:r>
          <w:tab/>
        </w:r>
        <w:r>
          <w:fldChar w:fldCharType="begin"/>
        </w:r>
        <w:r>
          <w:instrText xml:space="preserve"> PAGEREF _Toc256000084 \h </w:instrText>
        </w:r>
        <w:r>
          <w:fldChar w:fldCharType="separate"/>
        </w:r>
        <w:r>
          <w:t>114</w:t>
        </w:r>
        <w:r>
          <w:fldChar w:fldCharType="end"/>
        </w:r>
      </w:hyperlink>
    </w:p>
    <w:p>
      <w:pPr>
        <w:pStyle w:val="TOC3"/>
        <w:tabs>
          <w:tab w:val="right" w:leader="dot" w:pos="8613"/>
        </w:tabs>
        <w:rPr>
          <w:rFonts w:ascii="Calibri" w:hAnsi="Calibri"/>
          <w:noProof/>
          <w:sz w:val="22"/>
        </w:rPr>
      </w:pPr>
      <w:hyperlink w:anchor="_Toc256000085" w:history="1">
        <w:r>
          <w:rPr>
            <w:rStyle w:val="Hyperlink"/>
            <w:b/>
            <w:noProof/>
          </w:rPr>
          <w:t>2.A.6.5 Output indicators by investment priority and, where appropriate by category of region</w:t>
        </w:r>
        <w:r>
          <w:tab/>
        </w:r>
        <w:r>
          <w:fldChar w:fldCharType="begin"/>
        </w:r>
        <w:r>
          <w:instrText xml:space="preserve"> PAGEREF _Toc256000085 \h </w:instrText>
        </w:r>
        <w:r>
          <w:fldChar w:fldCharType="separate"/>
        </w:r>
        <w:r>
          <w:t>115</w:t>
        </w:r>
        <w:r>
          <w:fldChar w:fldCharType="end"/>
        </w:r>
      </w:hyperlink>
    </w:p>
    <w:p>
      <w:pPr>
        <w:pStyle w:val="TOC3"/>
        <w:tabs>
          <w:tab w:val="right" w:leader="dot" w:pos="8613"/>
        </w:tabs>
        <w:rPr>
          <w:rFonts w:ascii="Calibri" w:hAnsi="Calibri"/>
          <w:noProof/>
          <w:sz w:val="22"/>
        </w:rPr>
      </w:pPr>
      <w:hyperlink w:anchor="_Toc256000086" w:history="1">
        <w:r>
          <w:rPr>
            <w:rStyle w:val="Hyperlink"/>
            <w:b/>
            <w:noProof/>
          </w:rPr>
          <w:t>Investment priority</w:t>
        </w:r>
        <w:r>
          <w:tab/>
        </w:r>
        <w:r>
          <w:fldChar w:fldCharType="begin"/>
        </w:r>
        <w:r>
          <w:instrText xml:space="preserve"> PAGEREF _Toc256000086 \h </w:instrText>
        </w:r>
        <w:r>
          <w:fldChar w:fldCharType="separate"/>
        </w:r>
        <w:r>
          <w:t>115</w:t>
        </w:r>
        <w:r>
          <w:fldChar w:fldCharType="end"/>
        </w:r>
      </w:hyperlink>
    </w:p>
    <w:p>
      <w:pPr>
        <w:pStyle w:val="TOC3"/>
        <w:tabs>
          <w:tab w:val="right" w:leader="dot" w:pos="8613"/>
        </w:tabs>
        <w:rPr>
          <w:rFonts w:ascii="Calibri" w:hAnsi="Calibri"/>
          <w:noProof/>
          <w:sz w:val="22"/>
        </w:rPr>
      </w:pPr>
      <w:hyperlink w:anchor="_Toc256000087" w:history="1">
        <w:r w:rsidRPr="005D6B15">
          <w:rPr>
            <w:rStyle w:val="Hyperlink"/>
            <w:b/>
            <w:noProof/>
          </w:rPr>
          <w:t xml:space="preserve">3d - </w:t>
        </w:r>
        <w:r w:rsidRPr="005D6B15">
          <w:rPr>
            <w:rStyle w:val="Hyperlink"/>
            <w:b/>
            <w:noProof/>
          </w:rPr>
          <w:t>Supporting the capacity of SMEs to grow in regional, national and international markets, and to engage in innovation processes</w:t>
        </w:r>
        <w:r>
          <w:tab/>
        </w:r>
        <w:r>
          <w:fldChar w:fldCharType="begin"/>
        </w:r>
        <w:r>
          <w:instrText xml:space="preserve"> PAGEREF _Toc256000087 \h </w:instrText>
        </w:r>
        <w:r>
          <w:fldChar w:fldCharType="separate"/>
        </w:r>
        <w:r>
          <w:t>115</w:t>
        </w:r>
        <w:r>
          <w:fldChar w:fldCharType="end"/>
        </w:r>
      </w:hyperlink>
    </w:p>
    <w:p>
      <w:pPr>
        <w:pStyle w:val="TOC2"/>
        <w:tabs>
          <w:tab w:val="right" w:leader="dot" w:pos="8613"/>
        </w:tabs>
        <w:rPr>
          <w:rFonts w:ascii="Calibri" w:hAnsi="Calibri"/>
          <w:noProof/>
          <w:sz w:val="22"/>
        </w:rPr>
      </w:pPr>
      <w:hyperlink w:anchor="_Toc256000088" w:history="1">
        <w:r>
          <w:rPr>
            <w:rStyle w:val="Hyperlink"/>
            <w:noProof/>
          </w:rPr>
          <w:t>2.A.7 Social innovation, transnational cooperation and contribution to thematic objectives 1-7</w:t>
        </w:r>
        <w:r>
          <w:tab/>
        </w:r>
        <w:r>
          <w:fldChar w:fldCharType="begin"/>
        </w:r>
        <w:r>
          <w:instrText xml:space="preserve"> PAGEREF _Toc256000088 \h </w:instrText>
        </w:r>
        <w:r>
          <w:fldChar w:fldCharType="separate"/>
        </w:r>
        <w:r>
          <w:t>115</w:t>
        </w:r>
        <w:r>
          <w:fldChar w:fldCharType="end"/>
        </w:r>
      </w:hyperlink>
    </w:p>
    <w:p>
      <w:pPr>
        <w:pStyle w:val="TOC2"/>
        <w:tabs>
          <w:tab w:val="right" w:leader="dot" w:pos="8613"/>
        </w:tabs>
        <w:rPr>
          <w:rFonts w:ascii="Calibri" w:hAnsi="Calibri"/>
          <w:noProof/>
          <w:sz w:val="22"/>
        </w:rPr>
      </w:pPr>
      <w:hyperlink w:anchor="_Toc256000089" w:history="1">
        <w:r>
          <w:rPr>
            <w:rStyle w:val="Hyperlink"/>
            <w:noProof/>
          </w:rPr>
          <w:t>2.A.8 Performance framework</w:t>
        </w:r>
        <w:r>
          <w:tab/>
        </w:r>
        <w:r>
          <w:fldChar w:fldCharType="begin"/>
        </w:r>
        <w:r>
          <w:instrText xml:space="preserve"> PAGEREF _Toc256000089 \h </w:instrText>
        </w:r>
        <w:r>
          <w:fldChar w:fldCharType="separate"/>
        </w:r>
        <w:r>
          <w:t>115</w:t>
        </w:r>
        <w:r>
          <w:fldChar w:fldCharType="end"/>
        </w:r>
      </w:hyperlink>
    </w:p>
    <w:p>
      <w:pPr>
        <w:pStyle w:val="TOC2"/>
        <w:tabs>
          <w:tab w:val="right" w:leader="dot" w:pos="8613"/>
        </w:tabs>
        <w:rPr>
          <w:rFonts w:ascii="Calibri" w:hAnsi="Calibri"/>
          <w:noProof/>
          <w:sz w:val="22"/>
        </w:rPr>
      </w:pPr>
      <w:hyperlink w:anchor="_Toc256000090" w:history="1">
        <w:r>
          <w:rPr>
            <w:rStyle w:val="Hyperlink"/>
            <w:noProof/>
          </w:rPr>
          <w:t>2.A.9 Categories of intervention</w:t>
        </w:r>
        <w:r>
          <w:tab/>
        </w:r>
        <w:r>
          <w:fldChar w:fldCharType="begin"/>
        </w:r>
        <w:r>
          <w:instrText xml:space="preserve"> PAGEREF _Toc256000090 \h </w:instrText>
        </w:r>
        <w:r>
          <w:fldChar w:fldCharType="separate"/>
        </w:r>
        <w:r>
          <w:t>116</w:t>
        </w:r>
        <w:r>
          <w:fldChar w:fldCharType="end"/>
        </w:r>
      </w:hyperlink>
    </w:p>
    <w:p>
      <w:pPr>
        <w:pStyle w:val="TOC2"/>
        <w:tabs>
          <w:tab w:val="right" w:leader="dot" w:pos="8613"/>
        </w:tabs>
        <w:rPr>
          <w:rFonts w:ascii="Calibri" w:hAnsi="Calibri"/>
          <w:noProof/>
          <w:sz w:val="22"/>
        </w:rPr>
      </w:pPr>
      <w:hyperlink w:anchor="_Toc256000091" w:history="1">
        <w:r>
          <w:rPr>
            <w:rStyle w:val="Hyperlink"/>
            <w:noProof/>
          </w:rPr>
          <w:t>2.A.10 Summary of the planned use of technical assistance including, where necessary, actions to reinforce the administrative capacity of authorities involved in the management and control of the programmes and beneficiaries</w:t>
        </w:r>
        <w:r>
          <w:rPr>
            <w:rStyle w:val="Hyperlink"/>
          </w:rPr>
          <w:t xml:space="preserve"> </w:t>
        </w:r>
        <w:r>
          <w:rPr>
            <w:rStyle w:val="Hyperlink"/>
            <w:noProof/>
          </w:rPr>
          <w:t>(where appropriate)</w:t>
        </w:r>
        <w:r>
          <w:rPr>
            <w:rStyle w:val="Hyperlink"/>
          </w:rPr>
          <w:t xml:space="preserve"> </w:t>
        </w:r>
        <w:r>
          <w:rPr>
            <w:rStyle w:val="Hyperlink"/>
            <w:noProof/>
          </w:rPr>
          <w:t>(by priority axis)</w:t>
        </w:r>
        <w:r>
          <w:tab/>
        </w:r>
        <w:r>
          <w:fldChar w:fldCharType="begin"/>
        </w:r>
        <w:r>
          <w:instrText xml:space="preserve"> PAGEREF _Toc256000091 \h </w:instrText>
        </w:r>
        <w:r>
          <w:fldChar w:fldCharType="separate"/>
        </w:r>
        <w:r>
          <w:t>117</w:t>
        </w:r>
        <w:r>
          <w:fldChar w:fldCharType="end"/>
        </w:r>
      </w:hyperlink>
    </w:p>
    <w:p>
      <w:pPr>
        <w:pStyle w:val="TOC1"/>
        <w:tabs>
          <w:tab w:val="right" w:leader="dot" w:pos="8613"/>
        </w:tabs>
        <w:rPr>
          <w:rFonts w:ascii="Calibri" w:hAnsi="Calibri"/>
          <w:noProof/>
          <w:sz w:val="22"/>
        </w:rPr>
      </w:pPr>
      <w:hyperlink w:anchor="_Toc256000092" w:history="1">
        <w:r w:rsidRPr="000808CE">
          <w:rPr>
            <w:rStyle w:val="Hyperlink"/>
            <w:noProof/>
          </w:rPr>
          <w:t>2.B Description of the priority axes for technical assistance</w:t>
        </w:r>
        <w:r>
          <w:tab/>
        </w:r>
        <w:r>
          <w:fldChar w:fldCharType="begin"/>
        </w:r>
        <w:r>
          <w:instrText xml:space="preserve"> PAGEREF _Toc256000092 \h </w:instrText>
        </w:r>
        <w:r>
          <w:fldChar w:fldCharType="separate"/>
        </w:r>
        <w:r>
          <w:t>119</w:t>
        </w:r>
        <w:r>
          <w:fldChar w:fldCharType="end"/>
        </w:r>
      </w:hyperlink>
    </w:p>
    <w:p>
      <w:pPr>
        <w:pStyle w:val="TOC1"/>
        <w:tabs>
          <w:tab w:val="right" w:leader="dot" w:pos="8613"/>
        </w:tabs>
        <w:rPr>
          <w:rFonts w:ascii="Calibri" w:hAnsi="Calibri"/>
          <w:noProof/>
          <w:sz w:val="22"/>
        </w:rPr>
      </w:pPr>
      <w:hyperlink w:anchor="_Toc256000093" w:history="1">
        <w:r>
          <w:rPr>
            <w:rStyle w:val="Hyperlink"/>
            <w:noProof/>
          </w:rPr>
          <w:t>3. FINANCING PLAN</w:t>
        </w:r>
        <w:r>
          <w:tab/>
        </w:r>
        <w:r>
          <w:fldChar w:fldCharType="begin"/>
        </w:r>
        <w:r>
          <w:instrText xml:space="preserve"> PAGEREF _Toc256000093 \h </w:instrText>
        </w:r>
        <w:r>
          <w:fldChar w:fldCharType="separate"/>
        </w:r>
        <w:r>
          <w:t>120</w:t>
        </w:r>
        <w:r>
          <w:fldChar w:fldCharType="end"/>
        </w:r>
      </w:hyperlink>
    </w:p>
    <w:p>
      <w:pPr>
        <w:pStyle w:val="TOC2"/>
        <w:tabs>
          <w:tab w:val="right" w:leader="dot" w:pos="8613"/>
        </w:tabs>
        <w:rPr>
          <w:rFonts w:ascii="Calibri" w:hAnsi="Calibri"/>
          <w:noProof/>
          <w:sz w:val="22"/>
        </w:rPr>
      </w:pPr>
      <w:hyperlink w:anchor="_Toc256000094" w:history="1">
        <w:r w:rsidRPr="00391CD8">
          <w:rPr>
            <w:rStyle w:val="Hyperlink"/>
            <w:noProof/>
          </w:rPr>
          <w:t>3.1 Financial appropriation from each fund and amounts for performance reserve</w:t>
        </w:r>
        <w:r>
          <w:tab/>
        </w:r>
        <w:r>
          <w:fldChar w:fldCharType="begin"/>
        </w:r>
        <w:r>
          <w:instrText xml:space="preserve"> PAGEREF _Toc256000094 \h </w:instrText>
        </w:r>
        <w:r>
          <w:fldChar w:fldCharType="separate"/>
        </w:r>
        <w:r>
          <w:t>120</w:t>
        </w:r>
        <w:r>
          <w:fldChar w:fldCharType="end"/>
        </w:r>
      </w:hyperlink>
    </w:p>
    <w:p>
      <w:pPr>
        <w:pStyle w:val="TOC2"/>
        <w:tabs>
          <w:tab w:val="right" w:leader="dot" w:pos="8613"/>
        </w:tabs>
        <w:rPr>
          <w:rFonts w:ascii="Calibri" w:hAnsi="Calibri"/>
          <w:noProof/>
          <w:sz w:val="22"/>
        </w:rPr>
      </w:pPr>
      <w:hyperlink w:anchor="_Toc256000095" w:history="1">
        <w:r w:rsidRPr="00F24766">
          <w:rPr>
            <w:rStyle w:val="Hyperlink"/>
            <w:rFonts w:eastAsia="Arial Unicode MS"/>
            <w:noProof/>
          </w:rPr>
          <w:t>3.2 Total financial appropriation by fund and national co-financing (€)</w:t>
        </w:r>
        <w:r>
          <w:tab/>
        </w:r>
        <w:r>
          <w:fldChar w:fldCharType="begin"/>
        </w:r>
        <w:r>
          <w:instrText xml:space="preserve"> PAGEREF _Toc256000095 \h </w:instrText>
        </w:r>
        <w:r>
          <w:fldChar w:fldCharType="separate"/>
        </w:r>
        <w:r>
          <w:t>120</w:t>
        </w:r>
        <w:r>
          <w:fldChar w:fldCharType="end"/>
        </w:r>
      </w:hyperlink>
    </w:p>
    <w:p>
      <w:pPr>
        <w:pStyle w:val="TOC2"/>
        <w:tabs>
          <w:tab w:val="right" w:leader="dot" w:pos="8613"/>
        </w:tabs>
        <w:rPr>
          <w:rFonts w:ascii="Calibri" w:hAnsi="Calibri"/>
          <w:noProof/>
          <w:sz w:val="22"/>
        </w:rPr>
      </w:pPr>
      <w:hyperlink w:anchor="_Toc256000096" w:history="1">
        <w:r w:rsidRPr="00391CD8">
          <w:rPr>
            <w:rStyle w:val="Hyperlink"/>
            <w:rFonts w:eastAsia="Arial Unicode MS"/>
            <w:noProof/>
          </w:rPr>
          <w:t>Table 18a: Financing plan</w:t>
        </w:r>
        <w:r>
          <w:tab/>
        </w:r>
        <w:r>
          <w:fldChar w:fldCharType="begin"/>
        </w:r>
        <w:r>
          <w:instrText xml:space="preserve"> PAGEREF _Toc256000096 \h </w:instrText>
        </w:r>
        <w:r>
          <w:fldChar w:fldCharType="separate"/>
        </w:r>
        <w:r>
          <w:t>120</w:t>
        </w:r>
        <w:r>
          <w:fldChar w:fldCharType="end"/>
        </w:r>
      </w:hyperlink>
    </w:p>
    <w:p>
      <w:pPr>
        <w:pStyle w:val="TOC2"/>
        <w:tabs>
          <w:tab w:val="right" w:leader="dot" w:pos="8613"/>
        </w:tabs>
        <w:rPr>
          <w:rFonts w:ascii="Calibri" w:hAnsi="Calibri"/>
          <w:noProof/>
          <w:sz w:val="22"/>
        </w:rPr>
      </w:pPr>
      <w:hyperlink w:anchor="_Toc256000097" w:history="1">
        <w:r w:rsidRPr="00391CD8">
          <w:rPr>
            <w:rStyle w:val="Hyperlink"/>
            <w:noProof/>
          </w:rPr>
          <w:t>Table 18c: Breakdown of the financial plan by priority axis, fund, category of region and thematic objective</w:t>
        </w:r>
        <w:r>
          <w:tab/>
        </w:r>
        <w:r>
          <w:fldChar w:fldCharType="begin"/>
        </w:r>
        <w:r>
          <w:instrText xml:space="preserve"> PAGEREF _Toc256000097 \h </w:instrText>
        </w:r>
        <w:r>
          <w:fldChar w:fldCharType="separate"/>
        </w:r>
        <w:r>
          <w:t>120</w:t>
        </w:r>
        <w:r>
          <w:fldChar w:fldCharType="end"/>
        </w:r>
      </w:hyperlink>
    </w:p>
    <w:p>
      <w:pPr>
        <w:pStyle w:val="TOC2"/>
        <w:tabs>
          <w:tab w:val="right" w:leader="dot" w:pos="8613"/>
        </w:tabs>
        <w:rPr>
          <w:rFonts w:ascii="Calibri" w:hAnsi="Calibri"/>
          <w:noProof/>
          <w:sz w:val="22"/>
        </w:rPr>
      </w:pPr>
      <w:hyperlink w:anchor="_Toc256000098" w:history="1">
        <w:r w:rsidRPr="00391CD8">
          <w:rPr>
            <w:rStyle w:val="Hyperlink"/>
            <w:noProof/>
          </w:rPr>
          <w:t>Table 19: Indicative amount of support to be used for climate change objectives</w:t>
        </w:r>
        <w:r>
          <w:tab/>
        </w:r>
        <w:r>
          <w:fldChar w:fldCharType="begin"/>
        </w:r>
        <w:r>
          <w:instrText xml:space="preserve"> PAGEREF _Toc256000098 \h </w:instrText>
        </w:r>
        <w:r>
          <w:fldChar w:fldCharType="separate"/>
        </w:r>
        <w:r>
          <w:t>121</w:t>
        </w:r>
        <w:r>
          <w:fldChar w:fldCharType="end"/>
        </w:r>
      </w:hyperlink>
    </w:p>
    <w:p>
      <w:pPr>
        <w:pStyle w:val="TOC1"/>
        <w:tabs>
          <w:tab w:val="right" w:leader="dot" w:pos="8613"/>
        </w:tabs>
        <w:rPr>
          <w:rFonts w:ascii="Calibri" w:hAnsi="Calibri"/>
          <w:noProof/>
          <w:sz w:val="22"/>
        </w:rPr>
      </w:pPr>
      <w:hyperlink w:anchor="_Toc256000099" w:history="1">
        <w:r>
          <w:rPr>
            <w:rStyle w:val="Hyperlink"/>
            <w:noProof/>
          </w:rPr>
          <w:t>4. INTEGRATED APPROACH TO TERRITORIAL DEVELOPMENT</w:t>
        </w:r>
        <w:r>
          <w:tab/>
        </w:r>
        <w:r>
          <w:fldChar w:fldCharType="begin"/>
        </w:r>
        <w:r>
          <w:instrText xml:space="preserve"> PAGEREF _Toc256000099 \h </w:instrText>
        </w:r>
        <w:r>
          <w:fldChar w:fldCharType="separate"/>
        </w:r>
        <w:r>
          <w:t>122</w:t>
        </w:r>
        <w:r>
          <w:fldChar w:fldCharType="end"/>
        </w:r>
      </w:hyperlink>
    </w:p>
    <w:p>
      <w:pPr>
        <w:pStyle w:val="TOC2"/>
        <w:tabs>
          <w:tab w:val="right" w:leader="dot" w:pos="8613"/>
        </w:tabs>
        <w:rPr>
          <w:rFonts w:ascii="Calibri" w:hAnsi="Calibri"/>
          <w:noProof/>
          <w:sz w:val="22"/>
        </w:rPr>
      </w:pPr>
      <w:hyperlink w:anchor="_Toc256000100" w:history="1">
        <w:r>
          <w:rPr>
            <w:rStyle w:val="Hyperlink"/>
            <w:noProof/>
          </w:rPr>
          <w:t>4.1 Community-led local development</w:t>
        </w:r>
        <w:r>
          <w:rPr>
            <w:rStyle w:val="Hyperlink"/>
          </w:rPr>
          <w:t xml:space="preserve"> </w:t>
        </w:r>
        <w:r>
          <w:rPr>
            <w:rStyle w:val="Hyperlink"/>
            <w:noProof/>
          </w:rPr>
          <w:t>(where appropriate)</w:t>
        </w:r>
        <w:r>
          <w:tab/>
        </w:r>
        <w:r>
          <w:fldChar w:fldCharType="begin"/>
        </w:r>
        <w:r>
          <w:instrText xml:space="preserve"> PAGEREF _Toc256000100 \h </w:instrText>
        </w:r>
        <w:r>
          <w:fldChar w:fldCharType="separate"/>
        </w:r>
        <w:r>
          <w:t>122</w:t>
        </w:r>
        <w:r>
          <w:fldChar w:fldCharType="end"/>
        </w:r>
      </w:hyperlink>
    </w:p>
    <w:p>
      <w:pPr>
        <w:pStyle w:val="TOC2"/>
        <w:tabs>
          <w:tab w:val="right" w:leader="dot" w:pos="8613"/>
        </w:tabs>
        <w:rPr>
          <w:rFonts w:ascii="Calibri" w:hAnsi="Calibri"/>
          <w:noProof/>
          <w:sz w:val="22"/>
        </w:rPr>
      </w:pPr>
      <w:hyperlink w:anchor="_Toc256000101" w:history="1">
        <w:r>
          <w:rPr>
            <w:rStyle w:val="Hyperlink"/>
            <w:noProof/>
          </w:rPr>
          <w:t>4.2 Integrated actions for sustainable urban development</w:t>
        </w:r>
        <w:r>
          <w:rPr>
            <w:rStyle w:val="Hyperlink"/>
          </w:rPr>
          <w:t xml:space="preserve"> </w:t>
        </w:r>
        <w:r>
          <w:rPr>
            <w:rStyle w:val="Hyperlink"/>
            <w:noProof/>
          </w:rPr>
          <w:t>(where appropriate)</w:t>
        </w:r>
        <w:r>
          <w:tab/>
        </w:r>
        <w:r>
          <w:fldChar w:fldCharType="begin"/>
        </w:r>
        <w:r>
          <w:instrText xml:space="preserve"> PAGEREF _Toc256000101 \h </w:instrText>
        </w:r>
        <w:r>
          <w:fldChar w:fldCharType="separate"/>
        </w:r>
        <w:r>
          <w:t>122</w:t>
        </w:r>
        <w:r>
          <w:fldChar w:fldCharType="end"/>
        </w:r>
      </w:hyperlink>
    </w:p>
    <w:p>
      <w:pPr>
        <w:pStyle w:val="TOC2"/>
        <w:tabs>
          <w:tab w:val="right" w:leader="dot" w:pos="8613"/>
        </w:tabs>
        <w:rPr>
          <w:rFonts w:ascii="Calibri" w:hAnsi="Calibri"/>
          <w:noProof/>
          <w:sz w:val="22"/>
        </w:rPr>
      </w:pPr>
      <w:hyperlink w:anchor="_Toc256000102" w:history="1">
        <w:r w:rsidRPr="004D1171">
          <w:rPr>
            <w:rStyle w:val="Hyperlink"/>
            <w:noProof/>
            <w:lang w:val="en"/>
          </w:rPr>
          <w:t>4.3 Integrated Territorial Investment (ITI)</w:t>
        </w:r>
        <w:r>
          <w:rPr>
            <w:rStyle w:val="Hyperlink"/>
            <w:lang w:val="en"/>
          </w:rPr>
          <w:t xml:space="preserve"> </w:t>
        </w:r>
        <w:r>
          <w:rPr>
            <w:rStyle w:val="Hyperlink"/>
            <w:noProof/>
            <w:lang w:val="en"/>
          </w:rPr>
          <w:t>(where appropriate)</w:t>
        </w:r>
        <w:r>
          <w:tab/>
        </w:r>
        <w:r>
          <w:fldChar w:fldCharType="begin"/>
        </w:r>
        <w:r>
          <w:instrText xml:space="preserve"> PAGEREF _Toc256000102 \h </w:instrText>
        </w:r>
        <w:r>
          <w:fldChar w:fldCharType="separate"/>
        </w:r>
        <w:r>
          <w:t>123</w:t>
        </w:r>
        <w:r>
          <w:fldChar w:fldCharType="end"/>
        </w:r>
      </w:hyperlink>
    </w:p>
    <w:p>
      <w:pPr>
        <w:pStyle w:val="TOC2"/>
        <w:tabs>
          <w:tab w:val="right" w:leader="dot" w:pos="8613"/>
        </w:tabs>
        <w:rPr>
          <w:rFonts w:ascii="Calibri" w:hAnsi="Calibri"/>
          <w:noProof/>
          <w:sz w:val="22"/>
        </w:rPr>
      </w:pPr>
      <w:hyperlink w:anchor="_Toc256000103" w:history="1">
        <w:r>
          <w:rPr>
            <w:rStyle w:val="Hyperlink"/>
            <w:noProof/>
            <w:lang w:val="en"/>
          </w:rPr>
          <w:t>4.4 The arrangements for interregional and transnational actions, within the operational programme, with beneficiaries located in at least one other Member State</w:t>
        </w:r>
        <w:r>
          <w:rPr>
            <w:rStyle w:val="Hyperlink"/>
            <w:lang w:val="en"/>
          </w:rPr>
          <w:t xml:space="preserve"> </w:t>
        </w:r>
        <w:r w:rsidRPr="00C435E2">
          <w:rPr>
            <w:rStyle w:val="Hyperlink"/>
            <w:noProof/>
            <w:lang w:val="en"/>
          </w:rPr>
          <w:t>(where appropriate)</w:t>
        </w:r>
        <w:r>
          <w:tab/>
        </w:r>
        <w:r>
          <w:fldChar w:fldCharType="begin"/>
        </w:r>
        <w:r>
          <w:instrText xml:space="preserve"> PAGEREF _Toc256000103 \h </w:instrText>
        </w:r>
        <w:r>
          <w:fldChar w:fldCharType="separate"/>
        </w:r>
        <w:r>
          <w:t>125</w:t>
        </w:r>
        <w:r>
          <w:fldChar w:fldCharType="end"/>
        </w:r>
      </w:hyperlink>
    </w:p>
    <w:p>
      <w:pPr>
        <w:pStyle w:val="TOC2"/>
        <w:tabs>
          <w:tab w:val="right" w:leader="dot" w:pos="8613"/>
        </w:tabs>
        <w:rPr>
          <w:rFonts w:ascii="Calibri" w:hAnsi="Calibri"/>
          <w:noProof/>
          <w:sz w:val="22"/>
        </w:rPr>
      </w:pPr>
      <w:hyperlink w:anchor="_Toc256000104" w:history="1">
        <w:r w:rsidRPr="00986934">
          <w:rPr>
            <w:rStyle w:val="Hyperlink"/>
            <w:noProof/>
            <w:lang w:val="en"/>
          </w:rPr>
          <w:t>4.5 Contribution of the planned actions under the programme to macro-regional and sea basin strategies, subject to the needs of the programme area as identified by the Member State</w:t>
        </w:r>
        <w:r w:rsidRPr="00986934">
          <w:rPr>
            <w:rStyle w:val="Hyperlink"/>
            <w:noProof/>
            <w:lang w:val="en" w:eastAsia="fr-BE"/>
          </w:rPr>
          <w:t xml:space="preserve"> </w:t>
        </w:r>
        <w:r w:rsidRPr="00986934">
          <w:rPr>
            <w:rStyle w:val="Hyperlink"/>
            <w:noProof/>
            <w:lang w:val="en" w:eastAsia="fr-BE"/>
          </w:rPr>
          <w:t>(where appropriate)</w:t>
        </w:r>
        <w:r>
          <w:tab/>
        </w:r>
        <w:r>
          <w:fldChar w:fldCharType="begin"/>
        </w:r>
        <w:r>
          <w:instrText xml:space="preserve"> PAGEREF _Toc256000104 \h </w:instrText>
        </w:r>
        <w:r>
          <w:fldChar w:fldCharType="separate"/>
        </w:r>
        <w:r>
          <w:t>125</w:t>
        </w:r>
        <w:r>
          <w:fldChar w:fldCharType="end"/>
        </w:r>
      </w:hyperlink>
    </w:p>
    <w:p>
      <w:pPr>
        <w:pStyle w:val="TOC1"/>
        <w:tabs>
          <w:tab w:val="right" w:leader="dot" w:pos="8613"/>
        </w:tabs>
        <w:rPr>
          <w:rFonts w:ascii="Calibri" w:hAnsi="Calibri"/>
          <w:noProof/>
          <w:sz w:val="22"/>
        </w:rPr>
      </w:pPr>
      <w:hyperlink w:anchor="_Toc256000105" w:history="1">
        <w:r w:rsidRPr="00937974">
          <w:rPr>
            <w:rStyle w:val="Hyperlink"/>
            <w:noProof/>
          </w:rPr>
          <w:t>5. SPECIFIC NEEDS OF GEOGRAPHICAL AREAS MOST AFFECTED BY POVERTY OR TARGET GROUPS AT HIGHEST RISK OF DISCRIMINATION OR SOCIAL EXCLUSION</w:t>
        </w:r>
        <w:r>
          <w:tab/>
        </w:r>
        <w:r>
          <w:fldChar w:fldCharType="begin"/>
        </w:r>
        <w:r>
          <w:instrText xml:space="preserve"> PAGEREF _Toc256000105 \h </w:instrText>
        </w:r>
        <w:r>
          <w:fldChar w:fldCharType="separate"/>
        </w:r>
        <w:r>
          <w:t>127</w:t>
        </w:r>
        <w:r>
          <w:fldChar w:fldCharType="end"/>
        </w:r>
      </w:hyperlink>
    </w:p>
    <w:p>
      <w:pPr>
        <w:pStyle w:val="TOC2"/>
        <w:tabs>
          <w:tab w:val="right" w:leader="dot" w:pos="8613"/>
        </w:tabs>
        <w:rPr>
          <w:rFonts w:ascii="Calibri" w:hAnsi="Calibri"/>
          <w:noProof/>
          <w:sz w:val="22"/>
        </w:rPr>
      </w:pPr>
      <w:hyperlink w:anchor="_Toc256000106" w:history="1">
        <w:r w:rsidRPr="001D083A">
          <w:rPr>
            <w:rStyle w:val="Hyperlink"/>
            <w:noProof/>
          </w:rPr>
          <w:t>5.1 Geographical areas most affected by poverty/target groups at highest risk of discrimination or social exclusion</w:t>
        </w:r>
        <w:r>
          <w:tab/>
        </w:r>
        <w:r>
          <w:fldChar w:fldCharType="begin"/>
        </w:r>
        <w:r>
          <w:instrText xml:space="preserve"> PAGEREF _Toc256000106 \h </w:instrText>
        </w:r>
        <w:r>
          <w:fldChar w:fldCharType="separate"/>
        </w:r>
        <w:r>
          <w:t>127</w:t>
        </w:r>
        <w:r>
          <w:fldChar w:fldCharType="end"/>
        </w:r>
      </w:hyperlink>
    </w:p>
    <w:p>
      <w:pPr>
        <w:pStyle w:val="TOC2"/>
        <w:tabs>
          <w:tab w:val="right" w:leader="dot" w:pos="8613"/>
        </w:tabs>
        <w:rPr>
          <w:rFonts w:ascii="Calibri" w:hAnsi="Calibri"/>
          <w:noProof/>
          <w:sz w:val="22"/>
        </w:rPr>
      </w:pPr>
      <w:hyperlink w:anchor="_Toc256000107" w:history="1">
        <w:r w:rsidRPr="00977A33">
          <w:rPr>
            <w:rStyle w:val="Hyperlink"/>
            <w:noProof/>
          </w:rPr>
          <w:t>5.2 Strategy to address the specific needs of geographical areas most affected by poverty/target groups at highest risk of discrimination or social exclusion, and where relevant, the contribution to the integrated approach set out in the Partnership Agreement</w:t>
        </w:r>
        <w:r>
          <w:tab/>
        </w:r>
        <w:r>
          <w:fldChar w:fldCharType="begin"/>
        </w:r>
        <w:r>
          <w:instrText xml:space="preserve"> PAGEREF _Toc256000107 \h </w:instrText>
        </w:r>
        <w:r>
          <w:fldChar w:fldCharType="separate"/>
        </w:r>
        <w:r>
          <w:t>127</w:t>
        </w:r>
        <w:r>
          <w:fldChar w:fldCharType="end"/>
        </w:r>
      </w:hyperlink>
    </w:p>
    <w:p>
      <w:pPr>
        <w:pStyle w:val="TOC2"/>
        <w:tabs>
          <w:tab w:val="right" w:leader="dot" w:pos="8613"/>
        </w:tabs>
        <w:rPr>
          <w:rFonts w:ascii="Calibri" w:hAnsi="Calibri"/>
          <w:noProof/>
          <w:sz w:val="22"/>
        </w:rPr>
      </w:pPr>
      <w:hyperlink w:anchor="_Toc256000108" w:history="1">
        <w:r>
          <w:rPr>
            <w:rStyle w:val="Hyperlink"/>
            <w:noProof/>
          </w:rPr>
          <w:t>Table 22: Actions to address specific needs of geographical areas most affected by poverty/target groups at highest risk of discrimination or social exclusion</w:t>
        </w:r>
        <w:r>
          <w:tab/>
        </w:r>
        <w:r>
          <w:fldChar w:fldCharType="begin"/>
        </w:r>
        <w:r>
          <w:instrText xml:space="preserve"> PAGEREF _Toc256000108 \h </w:instrText>
        </w:r>
        <w:r>
          <w:fldChar w:fldCharType="separate"/>
        </w:r>
        <w:r>
          <w:t>128</w:t>
        </w:r>
        <w:r>
          <w:fldChar w:fldCharType="end"/>
        </w:r>
      </w:hyperlink>
    </w:p>
    <w:p>
      <w:pPr>
        <w:pStyle w:val="TOC1"/>
        <w:tabs>
          <w:tab w:val="right" w:leader="dot" w:pos="8613"/>
        </w:tabs>
        <w:rPr>
          <w:rFonts w:ascii="Calibri" w:hAnsi="Calibri"/>
          <w:noProof/>
          <w:sz w:val="22"/>
        </w:rPr>
      </w:pPr>
      <w:hyperlink w:anchor="_Toc256000109" w:history="1">
        <w:r>
          <w:rPr>
            <w:rStyle w:val="Hyperlink"/>
            <w:noProof/>
          </w:rPr>
          <w:t>6. SPECIFIC NEEDS OF GEOGRAPHICAL AREAS WHICH SUFFER FROM SEVERE AND PERMANENT NATURAL OR DEMOGRAPHIC HANDICAPS</w:t>
        </w:r>
        <w:r>
          <w:rPr>
            <w:rStyle w:val="Hyperlink"/>
          </w:rPr>
          <w:t xml:space="preserve"> </w:t>
        </w:r>
        <w:r w:rsidRPr="00F403B2">
          <w:rPr>
            <w:rStyle w:val="Hyperlink"/>
            <w:noProof/>
          </w:rPr>
          <w:t>(WHERE APPROPRIATE)</w:t>
        </w:r>
        <w:r>
          <w:tab/>
        </w:r>
        <w:r>
          <w:fldChar w:fldCharType="begin"/>
        </w:r>
        <w:r>
          <w:instrText xml:space="preserve"> PAGEREF _Toc256000109 \h </w:instrText>
        </w:r>
        <w:r>
          <w:fldChar w:fldCharType="separate"/>
        </w:r>
        <w:r>
          <w:t>130</w:t>
        </w:r>
        <w:r>
          <w:fldChar w:fldCharType="end"/>
        </w:r>
      </w:hyperlink>
    </w:p>
    <w:p>
      <w:pPr>
        <w:pStyle w:val="TOC1"/>
        <w:tabs>
          <w:tab w:val="right" w:leader="dot" w:pos="8613"/>
        </w:tabs>
        <w:rPr>
          <w:rFonts w:ascii="Calibri" w:hAnsi="Calibri"/>
          <w:noProof/>
          <w:sz w:val="22"/>
        </w:rPr>
      </w:pPr>
      <w:hyperlink w:anchor="_Toc256000110" w:history="1">
        <w:r>
          <w:rPr>
            <w:rStyle w:val="Hyperlink"/>
            <w:noProof/>
          </w:rPr>
          <w:t>7. AUTHORITIES AND BODIES RESPONSIBLE FOR MANAGEMENT, CONTROL AND AUDIT AND THE ROLE OF RELEVANT PARTNERS</w:t>
        </w:r>
        <w:r>
          <w:tab/>
        </w:r>
        <w:r>
          <w:fldChar w:fldCharType="begin"/>
        </w:r>
        <w:r>
          <w:instrText xml:space="preserve"> PAGEREF _Toc256000110 \h </w:instrText>
        </w:r>
        <w:r>
          <w:fldChar w:fldCharType="separate"/>
        </w:r>
        <w:r>
          <w:t>131</w:t>
        </w:r>
        <w:r>
          <w:fldChar w:fldCharType="end"/>
        </w:r>
      </w:hyperlink>
    </w:p>
    <w:p>
      <w:pPr>
        <w:pStyle w:val="TOC2"/>
        <w:tabs>
          <w:tab w:val="right" w:leader="dot" w:pos="8613"/>
        </w:tabs>
        <w:rPr>
          <w:rFonts w:ascii="Calibri" w:hAnsi="Calibri"/>
          <w:noProof/>
          <w:sz w:val="22"/>
        </w:rPr>
      </w:pPr>
      <w:hyperlink w:anchor="_Toc256000111" w:history="1">
        <w:r>
          <w:rPr>
            <w:rStyle w:val="Hyperlink"/>
            <w:noProof/>
          </w:rPr>
          <w:t>7.1 Relevant authorities and bodies</w:t>
        </w:r>
        <w:r>
          <w:tab/>
        </w:r>
        <w:r>
          <w:fldChar w:fldCharType="begin"/>
        </w:r>
        <w:r>
          <w:instrText xml:space="preserve"> PAGEREF _Toc256000111 \h </w:instrText>
        </w:r>
        <w:r>
          <w:fldChar w:fldCharType="separate"/>
        </w:r>
        <w:r>
          <w:t>131</w:t>
        </w:r>
        <w:r>
          <w:fldChar w:fldCharType="end"/>
        </w:r>
      </w:hyperlink>
    </w:p>
    <w:p>
      <w:pPr>
        <w:pStyle w:val="TOC2"/>
        <w:tabs>
          <w:tab w:val="right" w:leader="dot" w:pos="8613"/>
        </w:tabs>
        <w:rPr>
          <w:rFonts w:ascii="Calibri" w:hAnsi="Calibri"/>
          <w:noProof/>
          <w:sz w:val="22"/>
        </w:rPr>
      </w:pPr>
      <w:hyperlink w:anchor="_Toc256000112" w:history="1">
        <w:r>
          <w:rPr>
            <w:rStyle w:val="Hyperlink"/>
            <w:noProof/>
          </w:rPr>
          <w:t>7.2 Involvement of relevant partners</w:t>
        </w:r>
        <w:r>
          <w:tab/>
        </w:r>
        <w:r>
          <w:fldChar w:fldCharType="begin"/>
        </w:r>
        <w:r>
          <w:instrText xml:space="preserve"> PAGEREF _Toc256000112 \h </w:instrText>
        </w:r>
        <w:r>
          <w:fldChar w:fldCharType="separate"/>
        </w:r>
        <w:r>
          <w:t>131</w:t>
        </w:r>
        <w:r>
          <w:fldChar w:fldCharType="end"/>
        </w:r>
      </w:hyperlink>
    </w:p>
    <w:p>
      <w:pPr>
        <w:pStyle w:val="TOC3"/>
        <w:tabs>
          <w:tab w:val="right" w:leader="dot" w:pos="8613"/>
        </w:tabs>
        <w:rPr>
          <w:rFonts w:ascii="Calibri" w:hAnsi="Calibri"/>
          <w:noProof/>
          <w:sz w:val="22"/>
        </w:rPr>
      </w:pPr>
      <w:hyperlink w:anchor="_Toc256000113" w:history="1">
        <w:r w:rsidRPr="006F5954">
          <w:rPr>
            <w:rStyle w:val="Hyperlink"/>
            <w:b/>
            <w:noProof/>
          </w:rPr>
          <w:t>7.2.1 Actions taken to involve the relevant partners in the preparation of the operational programme, and the role of those partners in the implementation, monitoring and evaluation of the programme</w:t>
        </w:r>
        <w:r>
          <w:tab/>
        </w:r>
        <w:r>
          <w:fldChar w:fldCharType="begin"/>
        </w:r>
        <w:r>
          <w:instrText xml:space="preserve"> PAGEREF _Toc256000113 \h </w:instrText>
        </w:r>
        <w:r>
          <w:fldChar w:fldCharType="separate"/>
        </w:r>
        <w:r>
          <w:t>131</w:t>
        </w:r>
        <w:r>
          <w:fldChar w:fldCharType="end"/>
        </w:r>
      </w:hyperlink>
    </w:p>
    <w:p>
      <w:pPr>
        <w:pStyle w:val="TOC3"/>
        <w:tabs>
          <w:tab w:val="right" w:leader="dot" w:pos="8613"/>
        </w:tabs>
        <w:rPr>
          <w:rFonts w:ascii="Calibri" w:hAnsi="Calibri"/>
          <w:noProof/>
          <w:sz w:val="22"/>
        </w:rPr>
      </w:pPr>
      <w:hyperlink w:anchor="_Toc256000114" w:history="1">
        <w:r w:rsidRPr="00D916B3">
          <w:rPr>
            <w:rStyle w:val="Hyperlink"/>
            <w:b/>
            <w:noProof/>
          </w:rPr>
          <w:t>7.2.2 Global grants</w:t>
        </w:r>
        <w:r>
          <w:rPr>
            <w:rStyle w:val="Hyperlink"/>
          </w:rPr>
          <w:t xml:space="preserve"> </w:t>
        </w:r>
        <w:r>
          <w:rPr>
            <w:rStyle w:val="Hyperlink"/>
            <w:noProof/>
          </w:rPr>
          <w:t>(for the ESF, where appropriate)</w:t>
        </w:r>
        <w:r>
          <w:tab/>
        </w:r>
        <w:r>
          <w:fldChar w:fldCharType="begin"/>
        </w:r>
        <w:r>
          <w:instrText xml:space="preserve"> PAGEREF _Toc256000114 \h </w:instrText>
        </w:r>
        <w:r>
          <w:fldChar w:fldCharType="separate"/>
        </w:r>
        <w:r>
          <w:t>134</w:t>
        </w:r>
        <w:r>
          <w:fldChar w:fldCharType="end"/>
        </w:r>
      </w:hyperlink>
    </w:p>
    <w:p>
      <w:pPr>
        <w:pStyle w:val="TOC3"/>
        <w:tabs>
          <w:tab w:val="right" w:leader="dot" w:pos="8613"/>
        </w:tabs>
        <w:rPr>
          <w:rFonts w:ascii="Calibri" w:hAnsi="Calibri"/>
          <w:noProof/>
          <w:sz w:val="22"/>
        </w:rPr>
      </w:pPr>
      <w:hyperlink w:anchor="_Toc256000115" w:history="1">
        <w:r w:rsidRPr="0079101B">
          <w:rPr>
            <w:rStyle w:val="Hyperlink"/>
            <w:b/>
            <w:noProof/>
          </w:rPr>
          <w:t>7.2.3 Allocation of an amount for capacity building</w:t>
        </w:r>
        <w:r w:rsidRPr="0079101B">
          <w:rPr>
            <w:rStyle w:val="Hyperlink"/>
          </w:rPr>
          <w:t xml:space="preserve"> </w:t>
        </w:r>
        <w:r w:rsidRPr="0079101B">
          <w:rPr>
            <w:rStyle w:val="Hyperlink"/>
            <w:noProof/>
          </w:rPr>
          <w:t>(for the ESF, where appropriate)</w:t>
        </w:r>
        <w:r>
          <w:tab/>
        </w:r>
        <w:r>
          <w:fldChar w:fldCharType="begin"/>
        </w:r>
        <w:r>
          <w:instrText xml:space="preserve"> PAGEREF _Toc256000115 \h </w:instrText>
        </w:r>
        <w:r>
          <w:fldChar w:fldCharType="separate"/>
        </w:r>
        <w:r>
          <w:t>134</w:t>
        </w:r>
        <w:r>
          <w:fldChar w:fldCharType="end"/>
        </w:r>
      </w:hyperlink>
    </w:p>
    <w:p>
      <w:pPr>
        <w:pStyle w:val="TOC1"/>
        <w:tabs>
          <w:tab w:val="right" w:leader="dot" w:pos="8613"/>
        </w:tabs>
        <w:rPr>
          <w:rFonts w:ascii="Calibri" w:hAnsi="Calibri"/>
          <w:noProof/>
          <w:sz w:val="22"/>
        </w:rPr>
      </w:pPr>
      <w:hyperlink w:anchor="_Toc256000116" w:history="1">
        <w:r>
          <w:rPr>
            <w:rStyle w:val="Hyperlink"/>
            <w:noProof/>
          </w:rPr>
          <w:t>8. COORDINATION BETWEEN THE FUNDS, THE EAFRD, THE EMFF AND OTHER UNION AND NATIONAL FUNDING INSTRUMENTS, AND WITH THE EIB</w:t>
        </w:r>
        <w:r>
          <w:tab/>
        </w:r>
        <w:r>
          <w:fldChar w:fldCharType="begin"/>
        </w:r>
        <w:r>
          <w:instrText xml:space="preserve"> PAGEREF _Toc256000116 \h </w:instrText>
        </w:r>
        <w:r>
          <w:fldChar w:fldCharType="separate"/>
        </w:r>
        <w:r>
          <w:t>135</w:t>
        </w:r>
        <w:r>
          <w:fldChar w:fldCharType="end"/>
        </w:r>
      </w:hyperlink>
    </w:p>
    <w:p>
      <w:pPr>
        <w:pStyle w:val="TOC1"/>
        <w:tabs>
          <w:tab w:val="right" w:leader="dot" w:pos="8613"/>
        </w:tabs>
        <w:rPr>
          <w:rFonts w:ascii="Calibri" w:hAnsi="Calibri"/>
          <w:noProof/>
          <w:sz w:val="22"/>
        </w:rPr>
      </w:pPr>
      <w:hyperlink w:anchor="_Toc256000117" w:history="1">
        <w:r w:rsidRPr="00BE7FCE">
          <w:rPr>
            <w:rStyle w:val="Hyperlink"/>
            <w:noProof/>
          </w:rPr>
          <w:t>9. EX-ANTE CONDITIONALITIES</w:t>
        </w:r>
        <w:r>
          <w:tab/>
        </w:r>
        <w:r>
          <w:fldChar w:fldCharType="begin"/>
        </w:r>
        <w:r>
          <w:instrText xml:space="preserve"> PAGEREF _Toc256000117 \h </w:instrText>
        </w:r>
        <w:r>
          <w:fldChar w:fldCharType="separate"/>
        </w:r>
        <w:r>
          <w:t>140</w:t>
        </w:r>
        <w:r>
          <w:fldChar w:fldCharType="end"/>
        </w:r>
      </w:hyperlink>
    </w:p>
    <w:p>
      <w:pPr>
        <w:pStyle w:val="TOC2"/>
        <w:tabs>
          <w:tab w:val="right" w:leader="dot" w:pos="8613"/>
        </w:tabs>
        <w:rPr>
          <w:rFonts w:ascii="Calibri" w:hAnsi="Calibri"/>
          <w:noProof/>
          <w:sz w:val="22"/>
        </w:rPr>
      </w:pPr>
      <w:hyperlink w:anchor="_Toc256000118" w:history="1">
        <w:r w:rsidRPr="00BE7FCE">
          <w:rPr>
            <w:rStyle w:val="Hyperlink"/>
            <w:noProof/>
          </w:rPr>
          <w:t>9.1 Ex-ante conditionalities</w:t>
        </w:r>
        <w:r>
          <w:tab/>
        </w:r>
        <w:r>
          <w:fldChar w:fldCharType="begin"/>
        </w:r>
        <w:r>
          <w:instrText xml:space="preserve"> PAGEREF _Toc256000118 \h </w:instrText>
        </w:r>
        <w:r>
          <w:fldChar w:fldCharType="separate"/>
        </w:r>
        <w:r>
          <w:t>140</w:t>
        </w:r>
        <w:r>
          <w:fldChar w:fldCharType="end"/>
        </w:r>
      </w:hyperlink>
    </w:p>
    <w:p>
      <w:pPr>
        <w:pStyle w:val="TOC2"/>
        <w:tabs>
          <w:tab w:val="right" w:leader="dot" w:pos="8613"/>
        </w:tabs>
        <w:rPr>
          <w:rFonts w:ascii="Calibri" w:hAnsi="Calibri"/>
          <w:noProof/>
          <w:sz w:val="22"/>
        </w:rPr>
      </w:pPr>
      <w:hyperlink w:anchor="_Toc256000119" w:history="1">
        <w:r w:rsidRPr="0042051F">
          <w:rPr>
            <w:rStyle w:val="Hyperlink"/>
            <w:noProof/>
          </w:rPr>
          <w:t>Table 24: Applicable ex-ante conditionalities and assessment of their fulfilment</w:t>
        </w:r>
        <w:r>
          <w:tab/>
        </w:r>
        <w:r>
          <w:fldChar w:fldCharType="begin"/>
        </w:r>
        <w:r>
          <w:instrText xml:space="preserve"> PAGEREF _Toc256000119 \h </w:instrText>
        </w:r>
        <w:r>
          <w:fldChar w:fldCharType="separate"/>
        </w:r>
        <w:r>
          <w:t>140</w:t>
        </w:r>
        <w:r>
          <w:fldChar w:fldCharType="end"/>
        </w:r>
      </w:hyperlink>
    </w:p>
    <w:p>
      <w:pPr>
        <w:pStyle w:val="TOC2"/>
        <w:tabs>
          <w:tab w:val="right" w:leader="dot" w:pos="8613"/>
        </w:tabs>
        <w:rPr>
          <w:rFonts w:ascii="Calibri" w:hAnsi="Calibri"/>
          <w:noProof/>
          <w:sz w:val="22"/>
        </w:rPr>
      </w:pPr>
      <w:hyperlink w:anchor="_Toc256000120" w:history="1">
        <w:r>
          <w:rPr>
            <w:rStyle w:val="Hyperlink"/>
            <w:noProof/>
          </w:rPr>
          <w:t>9.2 Description of actions to fulfil ex-ante conditionalities, responsible bodies and timetable</w:t>
        </w:r>
        <w:r>
          <w:tab/>
        </w:r>
        <w:r>
          <w:fldChar w:fldCharType="begin"/>
        </w:r>
        <w:r>
          <w:instrText xml:space="preserve"> PAGEREF _Toc256000120 \h </w:instrText>
        </w:r>
        <w:r>
          <w:fldChar w:fldCharType="separate"/>
        </w:r>
        <w:r>
          <w:t>157</w:t>
        </w:r>
        <w:r>
          <w:fldChar w:fldCharType="end"/>
        </w:r>
      </w:hyperlink>
    </w:p>
    <w:p>
      <w:pPr>
        <w:pStyle w:val="TOC1"/>
        <w:tabs>
          <w:tab w:val="right" w:leader="dot" w:pos="8613"/>
        </w:tabs>
        <w:rPr>
          <w:rFonts w:ascii="Calibri" w:hAnsi="Calibri"/>
          <w:noProof/>
          <w:sz w:val="22"/>
        </w:rPr>
      </w:pPr>
      <w:hyperlink w:anchor="_Toc256000121" w:history="1">
        <w:r>
          <w:rPr>
            <w:rStyle w:val="Hyperlink"/>
            <w:noProof/>
          </w:rPr>
          <w:t>10. REDUCTION OF ADMINISTRATIVE BURDEN FOR BENEFICIARIES</w:t>
        </w:r>
        <w:r>
          <w:tab/>
        </w:r>
        <w:r>
          <w:fldChar w:fldCharType="begin"/>
        </w:r>
        <w:r>
          <w:instrText xml:space="preserve"> PAGEREF _Toc256000121 \h </w:instrText>
        </w:r>
        <w:r>
          <w:fldChar w:fldCharType="separate"/>
        </w:r>
        <w:r>
          <w:t>164</w:t>
        </w:r>
        <w:r>
          <w:fldChar w:fldCharType="end"/>
        </w:r>
      </w:hyperlink>
    </w:p>
    <w:p>
      <w:pPr>
        <w:pStyle w:val="TOC1"/>
        <w:tabs>
          <w:tab w:val="right" w:leader="dot" w:pos="8613"/>
        </w:tabs>
        <w:rPr>
          <w:rFonts w:ascii="Calibri" w:hAnsi="Calibri"/>
          <w:noProof/>
          <w:sz w:val="22"/>
        </w:rPr>
      </w:pPr>
      <w:hyperlink w:anchor="_Toc256000122" w:history="1">
        <w:r w:rsidRPr="008D428D">
          <w:rPr>
            <w:rStyle w:val="Hyperlink"/>
            <w:noProof/>
            <w:lang w:val="fr-FR"/>
          </w:rPr>
          <w:t>11. HORIZONTAL PRINCIPLES</w:t>
        </w:r>
        <w:r>
          <w:tab/>
        </w:r>
        <w:r>
          <w:fldChar w:fldCharType="begin"/>
        </w:r>
        <w:r>
          <w:instrText xml:space="preserve"> PAGEREF _Toc256000122 \h </w:instrText>
        </w:r>
        <w:r>
          <w:fldChar w:fldCharType="separate"/>
        </w:r>
        <w:r>
          <w:t>168</w:t>
        </w:r>
        <w:r>
          <w:fldChar w:fldCharType="end"/>
        </w:r>
      </w:hyperlink>
    </w:p>
    <w:p>
      <w:pPr>
        <w:pStyle w:val="TOC2"/>
        <w:tabs>
          <w:tab w:val="right" w:leader="dot" w:pos="8613"/>
        </w:tabs>
        <w:rPr>
          <w:rFonts w:ascii="Calibri" w:hAnsi="Calibri"/>
          <w:noProof/>
          <w:sz w:val="22"/>
        </w:rPr>
      </w:pPr>
      <w:hyperlink w:anchor="_Toc256000123" w:history="1">
        <w:r w:rsidRPr="008D428D">
          <w:rPr>
            <w:rStyle w:val="Hyperlink"/>
            <w:noProof/>
            <w:lang w:val="fr-FR"/>
          </w:rPr>
          <w:t>11.1 Sustainable development</w:t>
        </w:r>
        <w:r>
          <w:tab/>
        </w:r>
        <w:r>
          <w:fldChar w:fldCharType="begin"/>
        </w:r>
        <w:r>
          <w:instrText xml:space="preserve"> PAGEREF _Toc256000123 \h </w:instrText>
        </w:r>
        <w:r>
          <w:fldChar w:fldCharType="separate"/>
        </w:r>
        <w:r>
          <w:t>168</w:t>
        </w:r>
        <w:r>
          <w:fldChar w:fldCharType="end"/>
        </w:r>
      </w:hyperlink>
    </w:p>
    <w:p>
      <w:pPr>
        <w:pStyle w:val="TOC2"/>
        <w:tabs>
          <w:tab w:val="right" w:leader="dot" w:pos="8613"/>
        </w:tabs>
        <w:rPr>
          <w:rFonts w:ascii="Calibri" w:hAnsi="Calibri"/>
          <w:noProof/>
          <w:sz w:val="22"/>
        </w:rPr>
      </w:pPr>
      <w:hyperlink w:anchor="_Toc256000124" w:history="1">
        <w:r>
          <w:rPr>
            <w:rStyle w:val="Hyperlink"/>
            <w:noProof/>
          </w:rPr>
          <w:t>11.2 Equal opportunities and non-discrimination</w:t>
        </w:r>
        <w:r>
          <w:tab/>
        </w:r>
        <w:r>
          <w:fldChar w:fldCharType="begin"/>
        </w:r>
        <w:r>
          <w:instrText xml:space="preserve"> PAGEREF _Toc256000124 \h </w:instrText>
        </w:r>
        <w:r>
          <w:fldChar w:fldCharType="separate"/>
        </w:r>
        <w:r>
          <w:t>169</w:t>
        </w:r>
        <w:r>
          <w:fldChar w:fldCharType="end"/>
        </w:r>
      </w:hyperlink>
    </w:p>
    <w:p>
      <w:pPr>
        <w:pStyle w:val="TOC2"/>
        <w:tabs>
          <w:tab w:val="right" w:leader="dot" w:pos="8613"/>
        </w:tabs>
        <w:rPr>
          <w:rFonts w:ascii="Calibri" w:hAnsi="Calibri"/>
          <w:noProof/>
          <w:sz w:val="22"/>
        </w:rPr>
      </w:pPr>
      <w:hyperlink w:anchor="_Toc256000125" w:history="1">
        <w:r>
          <w:rPr>
            <w:rStyle w:val="Hyperlink"/>
            <w:noProof/>
          </w:rPr>
          <w:t>11.3 Equality between men and women</w:t>
        </w:r>
        <w:r>
          <w:tab/>
        </w:r>
        <w:r>
          <w:fldChar w:fldCharType="begin"/>
        </w:r>
        <w:r>
          <w:instrText xml:space="preserve"> PAGEREF _Toc256000125 \h </w:instrText>
        </w:r>
        <w:r>
          <w:fldChar w:fldCharType="separate"/>
        </w:r>
        <w:r>
          <w:t>171</w:t>
        </w:r>
        <w:r>
          <w:fldChar w:fldCharType="end"/>
        </w:r>
      </w:hyperlink>
    </w:p>
    <w:p>
      <w:pPr>
        <w:pStyle w:val="TOC1"/>
        <w:tabs>
          <w:tab w:val="right" w:leader="dot" w:pos="8613"/>
        </w:tabs>
        <w:rPr>
          <w:rFonts w:ascii="Calibri" w:hAnsi="Calibri"/>
          <w:noProof/>
          <w:sz w:val="22"/>
        </w:rPr>
      </w:pPr>
      <w:hyperlink w:anchor="_Toc256000126" w:history="1">
        <w:r>
          <w:rPr>
            <w:rStyle w:val="Hyperlink"/>
            <w:noProof/>
          </w:rPr>
          <w:t>12. SEPARATE ELEMENTS</w:t>
        </w:r>
        <w:r>
          <w:tab/>
        </w:r>
        <w:r>
          <w:fldChar w:fldCharType="begin"/>
        </w:r>
        <w:r>
          <w:instrText xml:space="preserve"> PAGEREF _Toc256000126 \h </w:instrText>
        </w:r>
        <w:r>
          <w:fldChar w:fldCharType="separate"/>
        </w:r>
        <w:r>
          <w:t>173</w:t>
        </w:r>
        <w:r>
          <w:fldChar w:fldCharType="end"/>
        </w:r>
      </w:hyperlink>
    </w:p>
    <w:p>
      <w:pPr>
        <w:pStyle w:val="TOC2"/>
        <w:tabs>
          <w:tab w:val="right" w:leader="dot" w:pos="8613"/>
        </w:tabs>
        <w:rPr>
          <w:rFonts w:ascii="Calibri" w:hAnsi="Calibri"/>
          <w:noProof/>
          <w:sz w:val="22"/>
        </w:rPr>
      </w:pPr>
      <w:hyperlink w:anchor="_Toc256000127" w:history="1">
        <w:r>
          <w:rPr>
            <w:rStyle w:val="Hyperlink"/>
            <w:noProof/>
          </w:rPr>
          <w:t>12.1 Major projects to be implemented during programming period</w:t>
        </w:r>
        <w:r>
          <w:tab/>
        </w:r>
        <w:r>
          <w:fldChar w:fldCharType="begin"/>
        </w:r>
        <w:r>
          <w:instrText xml:space="preserve"> PAGEREF _Toc256000127 \h </w:instrText>
        </w:r>
        <w:r>
          <w:fldChar w:fldCharType="separate"/>
        </w:r>
        <w:r>
          <w:t>173</w:t>
        </w:r>
        <w:r>
          <w:fldChar w:fldCharType="end"/>
        </w:r>
      </w:hyperlink>
    </w:p>
    <w:p>
      <w:pPr>
        <w:pStyle w:val="TOC2"/>
        <w:tabs>
          <w:tab w:val="right" w:leader="dot" w:pos="8613"/>
        </w:tabs>
        <w:rPr>
          <w:rFonts w:ascii="Calibri" w:hAnsi="Calibri"/>
          <w:noProof/>
          <w:sz w:val="22"/>
        </w:rPr>
      </w:pPr>
      <w:hyperlink w:anchor="_Toc256000128" w:history="1">
        <w:r>
          <w:rPr>
            <w:rStyle w:val="Hyperlink"/>
            <w:noProof/>
          </w:rPr>
          <w:t>12.2 Performance framework of operational programme</w:t>
        </w:r>
        <w:r>
          <w:tab/>
        </w:r>
        <w:r>
          <w:fldChar w:fldCharType="begin"/>
        </w:r>
        <w:r>
          <w:instrText xml:space="preserve"> PAGEREF _Toc256000128 \h </w:instrText>
        </w:r>
        <w:r>
          <w:fldChar w:fldCharType="separate"/>
        </w:r>
        <w:r>
          <w:t>174</w:t>
        </w:r>
        <w:r>
          <w:fldChar w:fldCharType="end"/>
        </w:r>
      </w:hyperlink>
    </w:p>
    <w:p>
      <w:pPr>
        <w:pStyle w:val="TOC2"/>
        <w:tabs>
          <w:tab w:val="right" w:leader="dot" w:pos="8613"/>
        </w:tabs>
        <w:rPr>
          <w:rFonts w:ascii="Calibri" w:hAnsi="Calibri"/>
          <w:noProof/>
          <w:sz w:val="22"/>
        </w:rPr>
      </w:pPr>
      <w:hyperlink w:anchor="_Toc256000129" w:history="1">
        <w:r>
          <w:rPr>
            <w:rStyle w:val="Hyperlink"/>
            <w:noProof/>
          </w:rPr>
          <w:t>12.3 Relevant partners involved in preparation of programme</w:t>
        </w:r>
        <w:r>
          <w:tab/>
        </w:r>
        <w:r>
          <w:fldChar w:fldCharType="begin"/>
        </w:r>
        <w:r>
          <w:instrText xml:space="preserve"> PAGEREF _Toc256000129 \h </w:instrText>
        </w:r>
        <w:r>
          <w:fldChar w:fldCharType="separate"/>
        </w:r>
        <w:r>
          <w:t>174</w:t>
        </w:r>
        <w:r>
          <w:fldChar w:fldCharType="end"/>
        </w:r>
      </w:hyperlink>
    </w:p>
    <w:p>
      <w:pPr>
        <w:pStyle w:val="TOC1"/>
        <w:tabs>
          <w:tab w:val="right" w:leader="dot" w:pos="8613"/>
        </w:tabs>
        <w:rPr>
          <w:rFonts w:ascii="Calibri" w:hAnsi="Calibri"/>
          <w:noProof/>
          <w:sz w:val="22"/>
        </w:rPr>
      </w:pPr>
      <w:hyperlink w:anchor="_Toc256000130" w:history="1">
        <w:r>
          <w:rPr>
            <w:rStyle w:val="Hyperlink"/>
            <w:noProof/>
          </w:rPr>
          <w:t>Documents</w:t>
        </w:r>
        <w:r>
          <w:tab/>
        </w:r>
        <w:r>
          <w:fldChar w:fldCharType="begin"/>
        </w:r>
        <w:r>
          <w:instrText xml:space="preserve"> PAGEREF _Toc256000130 \h </w:instrText>
        </w:r>
        <w:r>
          <w:fldChar w:fldCharType="separate"/>
        </w:r>
        <w:r>
          <w:t>177</w:t>
        </w:r>
        <w:r>
          <w:fldChar w:fldCharType="end"/>
        </w:r>
      </w:hyperlink>
    </w:p>
    <w:p>
      <w:pPr>
        <w:pStyle w:val="TOC2"/>
        <w:tabs>
          <w:tab w:val="right" w:leader="dot" w:pos="8613"/>
        </w:tabs>
        <w:rPr>
          <w:rFonts w:ascii="Calibri" w:hAnsi="Calibri"/>
          <w:noProof/>
          <w:sz w:val="22"/>
        </w:rPr>
      </w:pPr>
      <w:hyperlink w:anchor="_Toc256000131" w:history="1">
        <w:r>
          <w:rPr>
            <w:rStyle w:val="Hyperlink"/>
            <w:noProof/>
          </w:rPr>
          <w:t>Submitted annexes by the Commission implementing regulation laying down the model of the programme</w:t>
        </w:r>
        <w:r>
          <w:tab/>
        </w:r>
        <w:r>
          <w:fldChar w:fldCharType="begin"/>
        </w:r>
        <w:r>
          <w:instrText xml:space="preserve"> PAGEREF _Toc256000131 \h </w:instrText>
        </w:r>
        <w:r>
          <w:fldChar w:fldCharType="separate"/>
        </w:r>
        <w:r>
          <w:t>177</w:t>
        </w:r>
        <w:r>
          <w:fldChar w:fldCharType="end"/>
        </w:r>
      </w:hyperlink>
    </w:p>
    <w:p>
      <w:pPr>
        <w:pStyle w:val="TOC1"/>
        <w:tabs>
          <w:tab w:val="right" w:leader="dot" w:pos="8613"/>
        </w:tabs>
        <w:rPr>
          <w:rFonts w:ascii="Calibri" w:hAnsi="Calibri"/>
          <w:noProof/>
          <w:sz w:val="22"/>
        </w:rPr>
      </w:pPr>
      <w:hyperlink w:anchor="_Toc256000132" w:history="1">
        <w:r w:rsidR="00F05543">
          <w:rPr>
            <w:rStyle w:val="Hyperlink"/>
            <w:noProof/>
          </w:rPr>
          <w:t>Latest validation results</w:t>
        </w:r>
        <w:r>
          <w:tab/>
        </w:r>
        <w:r>
          <w:fldChar w:fldCharType="begin"/>
        </w:r>
        <w:r>
          <w:instrText xml:space="preserve"> PAGEREF _Toc256000132 \h </w:instrText>
        </w:r>
        <w:r>
          <w:fldChar w:fldCharType="separate"/>
        </w:r>
        <w:r>
          <w:t>178</w:t>
        </w:r>
        <w:r>
          <w:fldChar w:fldCharType="end"/>
        </w:r>
      </w:hyperlink>
    </w:p>
    <w:p w:rsidR="00903D75" w:rsidP="00903D75">
      <w:r w:rsidR="00F00E75">
        <w:fldChar w:fldCharType="end"/>
      </w:r>
    </w:p>
    <w:p w:rsidR="008D5009" w:rsidRPr="00DD373B" w:rsidP="008D5009">
      <w:pPr>
        <w:pStyle w:val="Heading1"/>
        <w:numPr>
          <w:ilvl w:val="0"/>
          <w:numId w:val="0"/>
        </w:numPr>
        <w:spacing w:before="0" w:after="0"/>
      </w:pPr>
      <w:r w:rsidR="000F7603">
        <w:br w:type="page"/>
      </w:r>
      <w:bookmarkStart w:id="1" w:name="_Toc256000000"/>
      <w:r w:rsidRPr="00DD373B">
        <w:rPr>
          <w:noProof/>
        </w:rPr>
        <w:t>1. STRATEGY FOR THE OPERATIONAL PROGRAMME'S CONTRIBUTION TO THE UNION STRATEGY FOR SMART, SUSTAINABLE AND INCLUSIVE GROWTH AND THE ACHIEVEMENT OF ECONOMIC, SOCIAL AND TERRITORIAL COHESION</w:t>
      </w:r>
      <w:bookmarkEnd w:id="1"/>
    </w:p>
    <w:p w:rsidR="008D5009" w:rsidRPr="00CC36B2" w:rsidP="008D5009">
      <w:pPr>
        <w:pStyle w:val="Text1"/>
        <w:spacing w:before="0" w:after="0"/>
        <w:ind w:left="0"/>
        <w:rPr>
          <w:color w:val="000000"/>
        </w:rPr>
      </w:pPr>
    </w:p>
    <w:p w:rsidR="008D5009" w:rsidP="008D5009">
      <w:pPr>
        <w:pStyle w:val="Heading2"/>
        <w:numPr>
          <w:ilvl w:val="0"/>
          <w:numId w:val="0"/>
        </w:numPr>
        <w:spacing w:before="0" w:after="0"/>
        <w:rPr>
          <w:color w:val="000000"/>
        </w:rPr>
      </w:pPr>
      <w:bookmarkStart w:id="2" w:name="_Toc256000001"/>
      <w:r w:rsidRPr="00CC36B2">
        <w:rPr>
          <w:noProof/>
          <w:color w:val="000000"/>
        </w:rPr>
        <w:t>1.1 Strategy for the operational programme's contribution to the Union strategy for smart, sustainable and inclusive growth and to the achievement of economic, social and territorial cohesion</w:t>
      </w:r>
      <w:bookmarkEnd w:id="2"/>
    </w:p>
    <w:p w:rsidR="008D5009" w:rsidRPr="00AA06EC" w:rsidP="008D5009">
      <w:pPr>
        <w:pStyle w:val="Text1"/>
        <w:spacing w:before="0" w:after="0"/>
        <w:ind w:left="0"/>
      </w:pPr>
    </w:p>
    <w:p w:rsidR="008D5009" w:rsidP="008D5009">
      <w:pPr>
        <w:spacing w:before="0" w:after="0"/>
        <w:rPr>
          <w:noProof/>
          <w:lang w:eastAsia="fr-BE"/>
        </w:rPr>
      </w:pPr>
      <w:r>
        <w:rPr>
          <w:noProof/>
          <w:lang w:eastAsia="fr-BE"/>
        </w:rPr>
        <w:t>1.1.1 Description of the programme’s strategy for contributing to the delivery of the Union strategy for smart, sustainable and inclusive growth and for achieving economic, social and territorial cohesion.</w:t>
      </w:r>
    </w:p>
    <w:p w:rsidR="008D5009" w:rsidRPr="00FA1C89" w:rsidP="008D5009">
      <w:pPr>
        <w:spacing w:before="0" w:after="0"/>
        <w:rPr>
          <w:b/>
          <w:noProof/>
          <w:sz w:val="22"/>
          <w:szCs w:val="22"/>
          <w:lang w:eastAsia="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1. Programul Operațional Competitivitate, denumit în continuare Programul sau POC, se subscrie prevederilor Regulamentului (UE) nr.1303/2013 privind dispozițiile comune și ale Regulamentului (UE) nr.1301/2013 privind FEDR și dispozițiile specifice aplicabile obiectivului referitor la investițiile pentru creștere economică și locuri de muncă. Pornind de la analiza nevoilor de dezvoltare realizată la nivel tematic și sectorial și de la prioritățile de finanțare enunțate în acordul de parteneriat (AP), POC este elaborat având în vedere documentele strategice relevante la nivel European (Strategia Europa 2020 si inițiativele sale majore -  Agenda Digitala pentru Europa, O Uniune a Inovării, O politică industrială pentru era globalizării) și pe baza orientărilor documentelor strategice relevante la nivel național (programul național de reforma, strategiile naționale pentru cercetare, dezvoltare si inovare, competitivitate, agenda digitala, infrastructura NGN/NGA și securitate cibernetică, strategiile în domeniile sănătății, culturii, consolidării administrației publice, dezvoltării rurale și a sectorului pescăresc).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2. Competitivitatea a fost identificată în AP ca fiind una din cele cinci provocări privind dezvoltarea României, subliniind necesitatea îmbunătățirii capacității de inovare și cercetare pentru dezvoltarea de produse, servicii, afaceri, procese și modele sociale, precum și îmbunătățirea mediului de afaceri, prin punerea în aplicare a lanțurilor valorice pe o scară largă și, prin urmare, crearea de legături în interiorul și în afara țării. POC răspunde, în primul rând, provocării de dezvoltare </w:t>
      </w:r>
      <w:r>
        <w:rPr>
          <w:rFonts w:ascii="Times New Roman" w:eastAsia="Times New Roman" w:hAnsi="Times New Roman" w:cs="Times New Roman"/>
          <w:i/>
          <w:iCs/>
        </w:rPr>
        <w:t>Competitivitate și Dezvoltare locală</w:t>
      </w:r>
      <w:r>
        <w:rPr>
          <w:rFonts w:ascii="Times New Roman" w:eastAsia="Times New Roman" w:hAnsi="Times New Roman" w:cs="Times New Roman"/>
        </w:rPr>
        <w:t xml:space="preserve"> descrise în cadrul AP și complementar, contribuie la atingerea obiectivelor altor trei provocări de dezvoltare, respectiv: Oameni și societate, Infrastructură și Administrație și guvernare, permițând astfel intervenții orizontale în economie și societate. Programul acționează prin intermediul a doi vectori - Cercetare, Dezvoltare, Inovare (CDI) și Tehnologia Informației şi Comunicațiilor (TIC) - și contribuie la atingerea obiectivelor asumate de România în aceste domenii in concordanta cu Strategia Europa 2020: o strategie europeană pentru creștere inteligentă, durabilă și favorabilă incluziunii.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3. </w:t>
      </w:r>
      <w:r>
        <w:rPr>
          <w:rFonts w:ascii="Times New Roman" w:eastAsia="Times New Roman" w:hAnsi="Times New Roman" w:cs="Times New Roman"/>
          <w:i/>
          <w:iCs/>
        </w:rPr>
        <w:t>Obiectivul general al POC este de a contribui la realizarea obiectivului global al Acordului de Parteneriat prin susținerea CDI si TIC pentru competitivitate și dezvoltare.</w:t>
      </w:r>
      <w:r>
        <w:rPr>
          <w:rFonts w:ascii="Times New Roman" w:eastAsia="Times New Roman" w:hAnsi="Times New Roman" w:cs="Times New Roman"/>
        </w:rPr>
        <w:t xml:space="preserve"> POC propune soluții nevoilor și provocărilor legate de nivelul redus al competitivității economice la nivel național, în special în ceea ce privește (a) sprijinul insuficient pentru CDI și (b) infrastructura subdezvoltată de TIC și implicit servicii slab dezvoltate. Aceste două carențe, alături de alte deficiențe structurale, ca de exemplu, mediul de afaceri fragil sau productivitatea scăzută în industrie și servicii, fac imposibilă utilizarea potențialului competitiv existent.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Prin intervențiile sale, Programul contribuie la creșterea competitivității și la dezvoltarea economică prin îmbunătățirea accesului, securității și utilizării TIC și prin consolidarea CDI. Totodată, POC contribuie, în mod indirect, la reformarea unor domenii precum educația, sănătatea și cultura, dar și la reducerea sărăciei.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Conform recomandării specifice de țară 7 (SWD(2014) 424 final), POC va susține de asemenea eforturile naționale de consolidare a capacității administrației publice, în special prin îmbunătățirea eficienței gestionării resurselor umane, a instrumentelor decizionale și a coordonării în cadrul și între diferite niveluri administrative.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 Tratarea problematicii TIC și CDI în cadrul aceluiași program este justificată strategic de rolul multiplicator pe care investițiile în aceste domenii îl pot avea în economie, cu atât mai mult cu cît acestea se concentrează într-un număr limitat de domenii prioritare identificate și selectate având în vedere avantajele competitive ale României. Intervențiile POC promovează noi oportunități de creștere, în special în domenii de specializare inteligentă și propune o serie de intervenții strategice, integrate, cu impact major în crearea unui mediu de afaceri și social aliniat la exigențele competitivității europene.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 Majoritatea activităților economice și sociale includ elemente TIC, care contribuie în mod decisiv la creșterea competitivității, la îmbunătățirea calității vieții, la mobilizarea potențialului de dezvoltare în ansamblu. Conform SNC, TIC a fost identificat ca sector prioritar pentru România, având potențial competitiv pentru dezvoltarea inteligentă. Totodată, intervențiile orizontale TIC în procesele de guvernare, devin factori din ce în ce mai importanți pentru asigurarea competitivității României; dezvoltarea infrastructurii TIC și promovarea unui mediu digital reglementat, eficient și securizat va permite întreprinderilor și cetățenilor să poată interacționa într-o manieră eficientă și eficace cu administrația publică.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Creșterea investițiilor și stimularea activităților de CDI pot genera competitivitate, prin specializare inteligentă, valoare adăugată sporită, internaționalizare. Mai mult, inovarea, văzută ca “transformare”, aplicată în sectoarele de activitate economică, poate contribui la obținerea de rezultate valoroase în termeni de eficiență și calitate. AP1 va susține intervențiile CDI, adresând o serie de nevoi identificate la nivelul AP precum crearea unui mediu CD mai compact şi modern, orientat către nevoile pieței și principiile de specializare inteligentă, precum și crearea unei culturi antreprenoriale și inovative în domeniul CDI care să contribuie la antrenarea și dezvoltarea potențialului latent în domeniu, la nivel public și privat.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 Concentrarea și coordonarea intervențiilor în scopul adresării integrate a unor nevoi de dezvoltare este caracteristică perioadei de programare 2014-2020. În acest sens, este încurajată și implementarea unor strategii de dezvoltare urbană/instrumente de dezvoltare teritorială care să integreze aspecte economice și sociale. Pentru operaționalizarea acestei abordări, proiectele integrate vor fi finanțate cu prioritate în programele operaționale relevante, inclusiv în POC.</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COMPETITIVITATE ȘI CDI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 Unul dintre obiectivele Strategiei Europa 2020 îl constituie atingerea unui nivel de 3% din PIB-ul UE pentru cheltuielile destinate cercetării şi dezvoltării. România și-a asumat o țintă de 2% din PIB pentru finanțarea CDI (1% din PIB cheltuieli publice și 1% din PIB cheltuieli din surse private). Având în vedere că în anul 2011, România a investit în CDI doar 0,48% din PIB, 80% din investiții fiind realizate de către sectorul public (conform SNCDI), atingerea țintei de 2% constituie un obiectiv ambițios. Există totuși premisele necesare atingerii acestei ținte printr-un mix de măsuri și politici care, pe de o parte să prioritizeze și să concentreze resursele publice, iar pe de altă parte să încurajeze investițiile private în cercetare și dezvoltare tehnologică. Acest lucru se va realiza inclusiv prin programele CDI naționale (PNCDI III și programele Academiei Române), care acoperă în mod complementar cercetarea fundamentală şi finanțarea de bază pentru instituțiile publice CD. Modelul investițional pentru dezvoltarea CDI coordonează, sub egida MEN (autoritatea publică centrală care coordonează, elaborează, evaluează și monitorizează politicile și programele de CDI), cele două instrumente principale de finanțare ale SNCDI (PNCDI III și AP1) pornind de la elaborarea programelor și a documentelor de implementare (scheme de ajutor de stat, activități și cheltuieli eligibile, criterii de evaluare etc. În plus, PNCDI III şi POC au intervenții complementare pentru susținerea obiectivelor strategiei SNCDI.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 Direcțiile principale de investiții ale Programului în CDI vizează stimularea inovării la nivelul operatorilor economici prin creșterea cheltuielilor pentru CDI în sectorul privat, sprijinirea infrastructurilor de CD și dezvoltarea centrelor de excelență, în conexiune cu centre de CDI în cadrul unor clustere existente sau în curs de formare, stimularea transferului tehnologic şi crearea de rețele și clustere pentru dezvoltarea de noi produse și servicii.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9. Principala condiție pentru obținerea rezultatelor așteptate, în ceea ce privește stimularea și îmbunătățirea capacității de ansamblu a activităţilor de CDI este asumarea unui angajament pe termen lung privind o abordare coordonată și integrată a sistemului național de CDI şi anume: asigurarea de resurse, menținerea predictibilității, promovarea unui parteneriat public-privat credibil, crearea unei mase critice de cercetători. Prin acțiunile propuse și cadrul de implementare, POC contribuie la îndeplinirea acestui angajament.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10. SNCDI a identificat 3 tipuri de priorităţi tematice, respectiv:</w:t>
      </w:r>
    </w:p>
    <w:p>
      <w:pPr>
        <w:numPr>
          <w:ilvl w:val="0"/>
          <w:numId w:val="4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Priorităţi de specializare inteligentă - definirea şi consolidarea unor domenii de competenţă ridicată în care există avantaje competitive reale sau potențiale și care prin concentrarea de resurse şi mobilizarea unei mase critice de cercetători, pot asigura competitivitatea pe lanţurile de valoare adăugată regionale şi/sau globale</w:t>
      </w:r>
    </w:p>
    <w:p>
      <w:pPr>
        <w:numPr>
          <w:ilvl w:val="0"/>
          <w:numId w:val="4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Priorităţi cu relevanţă publică - dezvoltarea capacităţii sectorului public de a scana spaţiul tehnologiilor noi şi emergente şi de a solicita soluţii inovatoare de la operatorii CDI publici şi privaţi</w:t>
      </w:r>
    </w:p>
    <w:p>
      <w:pPr>
        <w:numPr>
          <w:ilvl w:val="0"/>
          <w:numId w:val="4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Cercetarea fundamentală (finanțată în principal din PNCDI III și programele Academiei Române).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11. AP1 va sprijini prioritățile de specializare inteligentă, mai ales în ceea ce privește orientarea cercetării către nevoile pieței, corelate cu intervențiile finanțate la nivel național (prin PNCDI III). Prioritățile legate de specializarea inteligentă au fost stabilite luând în considerare potențialul local de a genera valoare economică adăugată la rezultatele cercetării (generarea de creștere economică), precum și existența unei mase critice de resurse umane și resurse materiale, ca premise pentru dezvoltarea viitoare.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12. Următoarele </w:t>
      </w:r>
      <w:r>
        <w:rPr>
          <w:rFonts w:ascii="Times New Roman" w:eastAsia="Times New Roman" w:hAnsi="Times New Roman" w:cs="Times New Roman"/>
          <w:b/>
          <w:bCs/>
        </w:rPr>
        <w:t>domenii de specializare inteligentă</w:t>
      </w:r>
      <w:r>
        <w:rPr>
          <w:rFonts w:ascii="Times New Roman" w:eastAsia="Times New Roman" w:hAnsi="Times New Roman" w:cs="Times New Roman"/>
        </w:rPr>
        <w:t xml:space="preserve"> au fost identificate în cadrul SNCDI și vor fi susținute prin POC:</w:t>
      </w:r>
    </w:p>
    <w:p>
      <w:pPr>
        <w:numPr>
          <w:ilvl w:val="0"/>
          <w:numId w:val="4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BIOECONOMIE: Dezvoltarea durabilă a sectorului agro-alimentar, creşterea competitivității acestuia şi a calităţii vieții. Obținerea unor substanțe medicament de puritate înaltă și cu costuri cât mai reduse, pentru a crește accesibilitatea populației la medicamente (inovative și generice). Dezvoltarea de noi metode, mijloace și produse biotehnologice eficiente de diagnostic și terapie pentru medicina umană și veterinară</w:t>
      </w:r>
    </w:p>
    <w:p>
      <w:pPr>
        <w:numPr>
          <w:ilvl w:val="0"/>
          <w:numId w:val="4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TEHNOLOGIA INFORMAŢIEI ŞI A COMUNICAŢIILOR, SPAŢIU ȘI SECURITATE: Dezvoltarea de software, a tehnologiilor pentru internetul viitorului și calculul de înaltă performanță în rezolvarea marilor probleme societale. Dezvoltarea de aplicații spațiale dedicate şi/sau integrate pentru monitorizarea dezastrelor şi a fenomenelor extreme, meteorologie, energie, agricultura inteligentă. Se va finanța și dezvoltarea de tehnologii, produse şi sisteme pentru securitate locală şi regională, inclusiv securitate cibernetică, managementul situaţiilor de urgenţă şi al crizelor de securitate. Rezultatele de cercetare din domeniul securității vor avea o utilizare duală, cu aplicabilitate în domeniu economic.</w:t>
      </w:r>
    </w:p>
    <w:p>
      <w:pPr>
        <w:numPr>
          <w:ilvl w:val="0"/>
          <w:numId w:val="4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ENERGIE, MEDIU ȘI SCHIMBĂRI CLIMATICE: Valorificarea superioară a combustibililor fosili, diversificarea surselor naționale de energie, transport multifuncțional (“smart grids”) și mărirea eficienței la consumator; tehnici de depoluare şi de reciclare, în administrarea resurselor de apă și a zonelor umede. Conceptul „oraşul inteligent” privind soluţii de infrastructuri integrate pentru nevoile populaţiei în aglomerări urbane.</w:t>
      </w:r>
    </w:p>
    <w:p>
      <w:pPr>
        <w:numPr>
          <w:ilvl w:val="0"/>
          <w:numId w:val="4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ECO-NANO-TEHNOLOGII ȘI MATERIALE AVANSATE. Domeniul aparține TGE, care utilizează intensiv CDI. Nanotehnologiile au un mare potențial inovativ, susțin IMM-urile și asigură competitivitatea tehnologică. Materialele avansate, includ cercetarea pentru substituția materialelor critice și creșterea duratei de funcționare a materialelor.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13. În afara celor patru arii de specializare inteligentă, POC va sprijini CDI în domeniul sănătăţii, un sector de interes național, care reprezintă o prioritate cu relevanță publică pentru România. Acesta se regăsește la convergența dintre domeniile de specializare inteligentă, cercetarea de acest tip având un impact public de mare amploare în România. Pe baza metodologiei de elaborare a SNCDI 2014-2020 s-au identificat o serie de specializări de interes prioritar pentru CDI în domeniul sănătății ce reprezintă un efort de triangulare între mai multe categorii de criterii: specificul activității de CD existente în România, nevoile specifice din piața românească, precum și potențialul competitiv al produselor și serviciilor rezultate. Pe de-o parte se regăsesc specializări legate de cercetarea metodelor de diagnostic și terapeutice iar pe altă parte se regăsește cercetarea clinică farmacologică, în domeniul oncologiei, a bolilor rare și emergente, a bolilor neuro-degenerative și inflamatorii sau a bolilor cu nivel ridicat de mortalitate și morbiditate în România, precum bolile cardiovasculare sau diabetul.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corelare cu prevederile SNS (prioritatea Promovarea cercetării și inovării în sănătate), POC va sprijini prin AP1, dezvoltarea capacității de cercetare, dezvoltare, inovare pentru aceste specializări, urmărindu-se obținerea de rezultate ce ar putea fi integrate în practică. Astfel, vor fi sprijinite proiecte de atragere a cercetătorilor români implicați în proiecte naționale și/sau internaționale din sănătate şi dezvoltarea infrastructurii instituționale de cercetare în sănătate în poli de excelență în cercetare/structuri instituționale competitive pe piața cercetării/ constituirea/promovarea de clustere având ca obiectiv principal dezvoltarea de mecanisme formale de transfer al rezultatelor cercetării în practica medicală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14. În selectarea operațiunilor din domeniile prioritare următoarele principii vor prevala:  proximitatea față de piață, deschiderea către un nou domeniu de nişă cu potențial inovativ și efecte de propagare a cunoștințelor ("spill-over"), gradul de colaborare și parteneriatele pe care le implică operațiunea respectivă,  nevoia de fonduri publice, importanța operațiunii pentru economie, gradul de conectare cu restul economiei și potențialul de a fi dezvoltat un avantaj competitiv în domeniul corespunzător operațiunii.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15. Pentru susținerea soluțiilor inovatoare interdisciplinare, aflate dincolo de demarcațiile tradiționale, ariile de specializare inteligentă sunt corelate cu sectoarele competitive relevante fiecărui domeniu de activitate (conform SNC). Astfel, se vor finanța cu prioritate proiecte aferente domeniilor de specializare inteligentă, dezvoltate de acele sectoare a căror activitate dinamică și competitivă poate contribui în manieră reală, aplicabilă și sustenabilă la dezvoltarea tehnologică și inovativă.</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Investiţii private în CDI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16. Acțiunile întreprinse în domeniul CDI în perioada 2007-2013 prin investiții din fonduri structurale și fonduri guvernamentale au produs transformări importante în ecosistemul românesc de CDI, atât prin dinamizarea producției științifice, cât și prin introducerea unor bune practici, obţinându-se astfel o mai bună vizibilitate internațională a rezultatelor cercetării românești, îmbunătățirea infrastructurii de CDI și într-o oarecare măsură, creșterea numărului de tineri doctori și doctoranzi. IUS 2014 evidenţiază faptul că perfomanţa de creştere a României se situează peste media UE, România fiind considerată cea mai inovativă ţară din grupul de performanţă “inovatori modeşti”. Analiza sectorului arată un nivel scăzut al investițiilor publice, interes scăzut al firmelor pentru activități de CDI, fragmentare etc. În privința distribuției în teritoriu, cheltuielile și forța de muncă angajate în domeniul CD specifice agenților economici (36%) și statului (41%) sunt puternic concentrate în regiunea București-Ilfov. Cheltuielile și forța de muncă angajate în domeniul CD în instituțiile de învățământ superior (22%) au o distribuție teritorială mai amplă (INS 2012).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17. Conform INS, in 2011 sectorul privat a investit numai 825 de mil. lei în CD, reprezentând 17,1% din totalul investițiilor în cercetare. Între 2007 și 2011, creșterea cheltuielilor pentru CD în sectorul privat a fost de numai 11,8%, puțin peste o treime din procentul total de creștere a cheltuielilor pentru CD. Această evoluție poate fi atribuită unor factori structurali, cum ar fi lipsa culturii inovării în sectorul privat, legăturile slabe între educație, cercetare și mediul de afaceri, lipsa de colaborare între instituțiile publice de CDI și sectorul privat, ca și slaba aplicabilitate practică a rezultatelor cercetării generate de sectorul public. Rezolvarea acestor probleme structurale este o țintă majoră a POC, care își propune să stimuleze cererea întreprinderilor pentru inovare prin susținerea proiectelor de CDI derulate de întreprinderi, individual sau în parteneriat cu institute CD și universități, precum și transferul de cunoștințe și expertiză din mediul public CD către întreprinderi.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18. Dincolo de factorii structurali, s-au identificat și alți factori care limitează investițiile private în CDI, precum reducerea accesului la finanțare a sectorului privat ca urmare a impactului negativ al crizei economice și lipsa capitalului de risc în general, iar în mod particular absența capitalului de risc dedicat inovațiilor tehnologice rezultate din activități de CDI. Aceste probleme vor fi adresate prin dezvoltarea unor instrumente financiare dedicate special întreprinderilor inovatoare.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19. Cadrul legal pentru protejarea și partajarea proprietății intelectuale a fost îmbunătățit prin Legea nr.83/2014 privind invențiile de serviciu menită să clarifice drepturile de partajare a veniturilor din proprietatea intelectuală între angajații ce produc invenții și angajatorii lor. Schimbul de specialiști între universităţi/institute CDI și întreprinderi, inclusiv în scopul dezvoltării culturii inovative şi a aptitudinilor, precum şi sprijinirea cercetărilor interdisciplinare  contribuie la asigurarea unei mase critice de cercetători în sistem. Potențialul de inovare al companiilor este strâns legat de structura economică a României, astfel încât peste 56,4 % dintre companiile mari (care reprezintă 0,4% din totalul companiilor) sunt active din punct de vedere al inovării, în timp ce doar 38,7% dintre companiile mijlocii și doar 27,5% dintre companiile mici sunt active din punct de vedere al inovării. Investițiile în CD sunt în foarte mare măsură concentrate în companiile implicate în activități cu nivel tehnologic înalt și mediu (companii care reprezintă un procent mic din totalul companiilor), în timp ce majoritatea companiilor implicate în activități cu nivel tehnologic mediu spre scăzut nu au capacitatea de a genera decât o cerere redusă pentru activități de inovare (Sursa:INS 2012 și Studiul „Rolul sectorului privat in dezvoltarea competiției in sistemul de CDI”,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Parteneriate public-privat şi transfer de cunoştinţe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20. Cu toate că dinamica producției științifice s-a modificat semnificativ, crescând din punct de vedere calitativ și cantitativ întărindu-se relațiile dintre cercetarea românească şi cea internațională (comparativ cu anul 2007), legăturile dintre învățământ, cercetare și sectorul economic rămân în continuare slabe.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21. Sectorul public de cercetare este caracterizat prin fragmentare şi utilizarea ineficientă a resurselor. Ofertele instituţiilor de cercetare, neadaptate nevoilor de piaţă, nu au avut capacitatea de a atrage clienţi din rândul mediului de afaceri. Aproximativ 250 de entităţi publice de CD sunt astăzi operaţionale. Ele acoperă multe subdomenii şi nişe ştiinţifice, în specializări ale cercetării relativ largi, generând uneori redundanţă şi duplicare în sistem. În prezent se desfășoară procesul de evaluare și clasificare a instituțiilor CD din sectorul public în conformitate cu performanța activității lor CD (HG nr.1062/2011), iar investițiile din fondurile publice vor fi prioritizate în funcție de rezultatele evaluării și se vor concentra pe arii tematice cu competențe de cercetare comune. De asemenea, a fost aprobată prin HG nr. 96/2012 trecerea institutelor CD din subordinea sau coordonarea diferitelor ministere în coordonarea MEN. Această măsură va asigura o coordonare omogenă și o concentrare a sistemului public CD. Cercetarea publică trebuie susținută în baza cererii de piață, concentrat pe câteva sectoare identificate ca având potențial competitiv și avantaje comparative.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22. Rezultatele cercetării publice au rămas de multe ori neutilizate, generând un impact redus asupra dezvoltării economice, dat fiind nivelul scăzut de aplicare a rezultatelor cercetării în economie. La această situație a contribuit şi numărul scăzut de profesionişti capabili să realizeze transferul de tehnologie în cadrul organizațiilor publice de cercetare și managementul neadecvat al drepturilor de proprietate intelectuală. În acest sens, pentru a corecta aceste probleme structurale, POC va acționa în mod dual: organizarea de echipe adecvate pentru transfer tehnologic în instituțiile CD publice și susținerea întreprinderilor pentru a prelua și utiliza cunoștințe și rezultate din cercetare. Această acțiune este complementară cu intervențiile prevăzute în POR, careva sprijini și dezvolta entitățile/infrastructurile de transfer tehnologic și activitatea lor de brokeraj pe piața cunoașterii. De asemenea, activitățile de transfer de cunoștințe finanțate în POC vin în completarea priorităților propuse prin PNDR 2014-2020 privind încurajarea transferului de cunoștințe şi a inovării în agricultură și în silvicultură, în zonele rurale, prin măsuri de creştere a nivelului de conştientizare şi pregătire a fermierilor în managementul şi performanţa de mediu a exploataţiei agricole.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Infrastructuri şi reţele de CD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23. Impulsionarea cererii private și îmbunătățirea ofertei publice de CD sunt obiective cheie ale abordării strategice pentru viitor. Astfel, este firesc ca aceste eforturi să fie dublate de asigurarea unei infrastructuri de cercetare care să permită derularea eficientă a proiectelor de acest gen. Dezvoltarea infrastructurii de cercetare nu este privită ca un scop în sine, ci ca având un efect de multiplicare asupra activităților de inovare, cu impact economic direct.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24. Primul palier semnificativ este realizarea prioritizării și concentrării efortului public în stimularea dezvoltării de infrastructuri majore, de relevanță europeană și globală. Din perspectiva POC, intervențiile se concentrează pe două proiecte menite să atragă o masă critică de cercetători și firme la nivel internațional: ELI-NP și Danubius. Ambele proiecte se înscriu în strategii mai largi de nivel European (cu privire la dezvoltarea ERA) și vor contribui substanțial la buna reprezentare a României pe harta cercetării globale.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Cel de-al doilea palier este cel al promovării unei utilizări eficiente al infrastructurilor de cercetare, în sensul încurajării accesului deschis și colaborativ al tuturor potențialilor beneficiari ai acestor infrastructuri. Prin POC, sprijinul va fi orientat către noile modele de organizare colaborativă a afacerilor, cum este cazul clusterelor sau altor consorții/rețele de CDI. Deja în anii 2012-2013 s-au dezvoltat în România un număr semnificativ de astfel de structuri (dintre care 27 clustere și 8 poli de competitivitate au beneficiat și de sprijin public pentru înființare/dezvoltare în cadrul POSCCE). În perioada ce urmează, aceste noi modele de organizare se vor transforma în catalizatori ai inovării prin colaborări bazate pe legătura dintre cerere și ofertă. În acest scop vor fi susținute atât instituțiile publice de cercetare care răspund efectiv unor nevoi cerute de acest tip de grupări economice organizate, cât și direct, clusterele inovative, prin suport acordat pentru noi capacități comune, destinate activităților de inovare și operare.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25. În general, capacitatea instituțiilor de CDI de a se integra în mod eficient în rețelele europene și internaționale trebuie să fie consolidată. Eforturi paralele sunt necesare pentru a crește capacitatea administrativă și pentru a eficientiza guvernanța sectorială. În acest sens, este nevoie de cooperare cu universități pentru a orienta cercetătorii calificați către sectoarele prioritare și instituțiile de CDI. Un prim pas pentru sprijinirea racordării organizațiilor de cercetare publică la rețelele europene și internaționale GRID și pentru upgradarea RoEduNet a fost făcut prin investițiile din POSCCE (12 proiecte finanțate) în scopul dezvoltării parteneriatului în CD, dar și asigurării mediului de cercetare/economic cu resurse accesibile și continue. Asigurarea și susținerea accesului deschis la rezultatele cercetării românești reprezintă în continuare priorități în SNCDI, în vederea întăririi schimbului de informații și transferului de cunoaștere care vor susține și încuraja inovarea.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26. Susținerea și dezvoltarea unei mase critice de cercetători în România impune asigurarea corelării și conectivității cercetătorilor din România cu mediul de CD internațional. Atât RoEduNet, cât și Anelis sunt proiecte prioritare pentru creșterea capacității sistemului de CD. Primul permite interconectarea RoEduNet la GEANT, iar cel de al doilea asigură accesul cercetătorilor la bazele de date științifice internaționale. Ambele proiecte sunt unice la nivel național și reprezintă piloni de susținere a acțiunilor ce vizează rezultate științifice precum co-publicații, număr de brevete, specialiști străini etc. Intervențiile din POC vor susține: realizarea buclelor locale și conectarea cât mai multor instituţii de învăţământ şi de cercetare; realizarea unei conexiuni de mare viteză la infrastructura UE; migrarea la capacităţi de mare viteză.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Accesul la literatura internațională științifică de cercetare contribuie la creșterea capacității de cercetare. În perioada 2007-2009, multe din universitățile, institutele de cercetare-dezvoltare și bibliotecile centrale universitare din România au fost sprijinite prin proiectul ANELIS finanțat prin POS CCE 2007-2013, ceea ce a constituit un factor cheie în creșterea producției științifice autohtone amintite mai sus. Proiectul este susținut până în 2015 printr-o finanțare națională sub numele de ANELIS PLUS, dar este clară nevoia de a se asigura în continuare un cadru multianual de sprijin prin FEDR.</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Implicarea în cercetarea la nivel European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27. Pentru a sprijini entitățile CDI (inclusiv IMM-uri) să participe la zona de cercetare a UE, POC urmăreşte crearea de sinergii cu acţiunile programului-cadru ORIZONT 2020 şi cu alte programe CDI internaţionale. Pentru a asigura utilizarea eficientă a fondurilor, a fost luată în considerare sinergia şi coordonarea cu activitățile Orizont 2020, atât în ceea ce privește concentrarea tematică, cât și prioritizarea. Ca atare, prin investițiile în CDI din POC se urmăreşte inclusiv creșterea ratei de succes a participării la aceste programe. Coordonarea şi sinergia cu Orizont 2020 sunt înţelese în sensul precizat de Anexa I a Reg. (CE) nr.1303/2013.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28. După standardele internaţionale, dar şi după nevoile interne, numărul cercetătorilor din România nu este suficient. Lipseşte masa critică de resurse umane pentru dezvoltarea unor domenii cu potențial şi, în mod special, pentru cercetarea şi inovarea interdisciplinară. România are procentul cel mai mic de personal de CD raportat la procentul total de angajați (0,46 % în 2011, INS), ceea ce reprezintă un sfert din media UE. În privința distribuției în teritoriu, doar regiunea București-Ilfov cu 2,1% (INS) se aproprie și depășește media de 1,7 % din UE. Numărul de cercetători din mediul privat este în scădere, iar marile companii străine cu filiale în România se arată reticente în privinţa dezvoltării unor centre locale de cercetare şi a încadrării activităţilor specifice ca activităţi de CD. Mobilitatea intra şi inter-sectorială este limitată, având un impact nedorit asupra circulaţiei cunoaşterii şi producerii inovării. Mai mult decât atât, sectorul este neatractiv pentru tinerii cercetători, iar România suferă de un mare „exod de creiere” din rândul cercetătorilor calificați și cu experiență. În acelaşi timp, sistemul public de CDI este caracterizat de prezenţa unui număr insuficient de cercetători şi perspective limitate de dezvoltare a carierei, dar şi de cvasi-absenţa unei mase critice de rezultate ştiinţifice (CE, 2013). De aceea POC va aloca resurse și pentru creșterea calității profesionale a cercetătorilor, la standarde internaționale, de exemplu prin atragerea unor cercetători cu experiență din străinătate și crearea unor grupuri de excelență în jurul acestora. Numărul de cercetători în întreprinderi a avut un trend de scădere de la 10.300 în 2005 la 5.000 în 2012 (echivalent norma întreagă).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29. Lecțiile învățate în perioada 2007-2013 din implementarea POS CCE in domeniul CDI:</w:t>
      </w:r>
    </w:p>
    <w:p>
      <w:pPr>
        <w:numPr>
          <w:ilvl w:val="0"/>
          <w:numId w:val="4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Cererea pentru finanțarea proiectelor în domeniul CDI a fost mare, gradul de contractare fiind de 131% din bugetul alocat. Ca și POSCCE și POC va viza toate regiunile României pentru formarea unei mase critice minime necesare pentru dezvoltarea activităților de CDI și stimularea competiției în domeniu.</w:t>
      </w:r>
    </w:p>
    <w:p>
      <w:pPr>
        <w:numPr>
          <w:ilvl w:val="0"/>
          <w:numId w:val="4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Fragmentarea mediului de cercetare și inadecvarea legăturilor sale cu nevoile de dezvoltare a afacerilor și cu provocările sociale au fost parțial rezolvate în actuala perioadă de finanțare. Astfel, POC va continua să acorde sprijin instituțiilor publice de CD, pornind de la prioritizarea stabilită prin </w:t>
      </w:r>
      <w:r>
        <w:rPr>
          <w:rFonts w:ascii="Times New Roman" w:eastAsia="Times New Roman" w:hAnsi="Times New Roman" w:cs="Times New Roman"/>
          <w:i/>
          <w:iCs/>
        </w:rPr>
        <w:t>Roadmap.</w:t>
      </w:r>
    </w:p>
    <w:p>
      <w:pPr>
        <w:numPr>
          <w:ilvl w:val="0"/>
          <w:numId w:val="4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Procedurile administrative greoaie, cu dese schimbări ale cadrului reglementat și birocrația excesivă au avut un efect negativ asupra gradului de absorbție din POS CCE. Prin urmare, este deosebit de importantă simplificarea regulilor privind accesul la finanțare și implementarea proiectelor.</w:t>
      </w:r>
    </w:p>
    <w:p>
      <w:pPr>
        <w:numPr>
          <w:ilvl w:val="0"/>
          <w:numId w:val="4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La nivel național este în general înregistrată o capacitate scăzută de finanțare a mediului privat pentru CDI. De aceea POC va stimula cheltuielile private CDI, inclusiv prin instrumente financiare pentru întreprinderi inovative (în premieră), care vor suplimenta resursele necesare finanţării proiectelor în contextul crizei economice și vor asigura sustenabilitatea pe termen lung a cercetării și inovării în respectivele organizații.</w:t>
      </w:r>
    </w:p>
    <w:p>
      <w:pPr>
        <w:numPr>
          <w:ilvl w:val="0"/>
          <w:numId w:val="4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În ciuda unei slabe culturi a inovării, mediul privat a arătat un interes în creștere pentru operațiunile POS CCE dedicate întreprinderilor. Acest interes va fi cultivat și în perioada următoare prin acțiunile AP1 (care vor continua măsurile de finanțare din 2007-2013 care au avut success) și va fi consolidat printr-un nou tip de acțiune ”parteneriate pentru transfer de cunoștințe” între organizații de CDI și întreprinderi.</w:t>
      </w:r>
    </w:p>
    <w:p>
      <w:pPr>
        <w:numPr>
          <w:ilvl w:val="0"/>
          <w:numId w:val="4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În 2007-2013 au fost susținute o serie de infrastructuri de cercetare publică, cererea în acest sens fiind foarte mare. De aceea, ”parteneriatele pentru transfer de cunoștințe” vor fi introduse în POC și în scopul stimulării utilizării de către întreprinderi a acestor infrastructuri moderne și a rezultatelor de cercetare obținute în organizațiile respective. Perioada de implementare mai îndelungată a proiectelor de transfer tehnologic va crea și un mod de colaborare pe termen lung între întreprinderi și organizațiile de cercetare cu posibilitatea de auto-finanțare în viitor. Mai mult, în 2014-2020, proiectele de investiții în instituții publice CD vor fi finanțate numai în baza unui acord de parteneriat cu o grupare economică (ex: cluster, pol de competitivitate) care și-a manifestat interesul față de rezultatele de cercetare obținute prin acele investiții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30. În concluzie, investițiile în CDI din POC vor viza:</w:t>
      </w:r>
    </w:p>
    <w:p>
      <w:pPr>
        <w:numPr>
          <w:ilvl w:val="0"/>
          <w:numId w:val="4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Sprijinul pentru dezvoltarea de noi tehnologii, produse și procese care rezultă din activitățile de CDI, stimularea activităților economice cu potenţial în creşterea capacităţilor de inovare, atragerea și menținerea specialiștilor CDI în întreprinderi, precum și stimularea parteneriatelor dintre actorii din sectorul privat și furnizorii de CDI în vederea creșterii prin inovare a competitivității economiei românești.</w:t>
      </w:r>
    </w:p>
    <w:p>
      <w:pPr>
        <w:numPr>
          <w:ilvl w:val="0"/>
          <w:numId w:val="4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Activarea sectorului privat prin instrumente de susținere a antreprenoriatului orientat către CDI (sprijin inovare la nivel de firme) și a comercializării rezultatelor CDI (sprijin transfer de la instituții publice la firme), precum și prin promovarea unor instrumente financiare specifice (fonduri de risc, împrumuturi etc.).</w:t>
      </w:r>
    </w:p>
    <w:p>
      <w:pPr>
        <w:numPr>
          <w:ilvl w:val="0"/>
          <w:numId w:val="4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Sprijinirea și consolidarea inițiativelor integrate, cum ar fi clusterele inovative.</w:t>
      </w:r>
    </w:p>
    <w:p>
      <w:pPr>
        <w:numPr>
          <w:ilvl w:val="0"/>
          <w:numId w:val="4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Consolidarea capacității de cercetare și creșterea excelenței în sinergie cu acțiunile programului UE Orizont 2020, în scopul de a spori contribuția românească la progresul cunoașterii și de a intensifica participarea României la activitățile/proiectele europene și internaționale.</w:t>
      </w:r>
    </w:p>
    <w:p>
      <w:pPr>
        <w:numPr>
          <w:ilvl w:val="0"/>
          <w:numId w:val="4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Asigurarea creșterii rapide și durabile a resurselor umane, numeric și calitativ, în domeniile de cercetare, dezvoltare și inovare, inclusiv prin atragerea de specialiști din străinătate.</w:t>
      </w:r>
    </w:p>
    <w:p>
      <w:pPr>
        <w:numPr>
          <w:ilvl w:val="0"/>
          <w:numId w:val="4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Concentrarea resurselor în domenii economice relevante, urmărind totodată eficientizarea cercetării în sectorul public și impulsionarea apropierii de piață.</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COMPETITIVITATE ȘI TIC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31. SNADR în concordanță cu prioritățile europene, stabilește obiective ambițioase de acoperire cu infrastructură în bandă largă și de creștere a vitezei internetului prin extinderea rețelelor/accesului de generație viitoare (NGA/NGN). De asemenea, strategia propune reducerea decalajelor semnificative în comparație cu țintele UE privind implementarea coerentă a serviciilor de e-guvernare, utilizarea generală a internetului și alfabetizarea digitală, precum și integrarea soluțiilor TIC în domenii cum ar fi educația, sănătatea și cultura. În acest context, POC vizează patru domenii principale pentru dezvoltarea TIC: a) e-guvernare, interoperabilitate, securitate informatică, cloud computing și rețele sociale, b) TIC în educație, sănătate și cultură, c) Cercetare-dezvoltare-inovare şi d) Infrastructura de bandă largă.</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E-guvernare, interoperabilitate, securitate a rețelelor și a sistemelor IT, cloud computing și rețele sociale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32. România înregistrează în 2013 o rată de 5% din total populație a cetățenilor care utilizează serviciile e-guvernare, iar procentul de cetățeni care returnează formulare on-line completate este de doar 2% (SAD 2013). În aceste condiții, România consideră necesară pregătirea unui program complet și durabil pentru transferul serviciilor publice la nivel online în corelare cu celelalte intervenții în dezvoltarea de competențe digitale și a infrastructurii ce vizează creșterea accesului general la servicii digitale. Dezvoltarea și implementarea strategiei naţionale în domeniul TIC implică utilizarea principiilor de tipul e-guvernare 2.0, care să răspundă direct nevoilor întreprinderilor și ale cetățenilor și care să propună servicii publice disponibile în mediul online, sub formă intuitivă de afaceri sau de evenimente de viață. Scopul final este ca un număr de 36 de evenimente de viață, care implică utilizarea serviciilor publice, să fie acoperite în mediul online (nivel sofisticare online IV).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33. Cele 36 de evenimente de viață selectate în cadrul SNADR se pot grupa în mai multe categorii, atât pe baza priorității rezultate din consultări publice, cât și în funcție de autoritățile implicate în defășurarea activităților respective:</w:t>
      </w:r>
    </w:p>
    <w:p>
      <w:pPr>
        <w:numPr>
          <w:ilvl w:val="0"/>
          <w:numId w:val="4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stare civilă (naștere, căsătorie, divorț, deces);</w:t>
      </w:r>
    </w:p>
    <w:p>
      <w:pPr>
        <w:numPr>
          <w:ilvl w:val="0"/>
          <w:numId w:val="4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activitatea agenților economici (înființarea, vânzarea unei companii, modificarea statutului unei companii, obținerea surselor de finanțare, obținerea sprijinului pentru desfășurarea activității unei firme, faliment, lichidare, constituirea contractelor, înregistrare pentru plata taxelor);</w:t>
      </w:r>
    </w:p>
    <w:p>
      <w:pPr>
        <w:numPr>
          <w:ilvl w:val="0"/>
          <w:numId w:val="4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drepturi și responsabilități cetățenești (eliberarea actelor de identitate, obținerea unui pașaport, obținerea permisului de conducere auto, înregistrarea unui autovehicul, cumpărarea/închirierea unei case, asigurări opționale și obligatorii, asigurarea viitorului personal, votarea);</w:t>
      </w:r>
    </w:p>
    <w:p>
      <w:pPr>
        <w:numPr>
          <w:ilvl w:val="0"/>
          <w:numId w:val="4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muncă, familie și protecție socială (servicii suport și de facilitare pentru căutarea unui loc de muncă, servicii suport în cazul pierderii locului de muncă, asistență în cazul accidentelor de muncă sau a incapacității de a lucra, pensionare, înscrierea alocației pentru persoane cu handicap, obținerea îndemnizației de creștere a copilului, adopții);</w:t>
      </w:r>
    </w:p>
    <w:p>
      <w:pPr>
        <w:numPr>
          <w:ilvl w:val="0"/>
          <w:numId w:val="4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afaceri externe (emigrare în România, obținerea cetățeniei, obținerea unei vize);</w:t>
      </w:r>
    </w:p>
    <w:p>
      <w:pPr>
        <w:numPr>
          <w:ilvl w:val="0"/>
          <w:numId w:val="4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parcursul educațional (clase primare/liceu/universitate, înscrierea la bibliotecă);</w:t>
      </w:r>
    </w:p>
    <w:p>
      <w:pPr>
        <w:numPr>
          <w:ilvl w:val="0"/>
          <w:numId w:val="4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serviciile medicale (programarea unui consult medical într-un spital);</w:t>
      </w:r>
    </w:p>
    <w:p>
      <w:pPr>
        <w:numPr>
          <w:ilvl w:val="0"/>
          <w:numId w:val="4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promovarea turismului (ghiduri și informații de călătorie).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34. In cadrul pregătirii SNADR s-au identificat lacune în ceea ce privește interoperabilitatea sistemelor electronice la nivelul tuturor autorităţilor/instituţiilor publice care împiedică asigurarea unor servicii unitare, gestionate sistemic și eficient. În acest sens, prioritizarea intervențiilor vizează asigurarea interoperabilității instituțiilor implicate în cele 36 de evenimente de viaţă, precum și crearea cloud-ului guvernamental, care ve determina costuri reduse de operare, eficiența energetică, flexibilitate în dezvoltarea de noi servicii online și aliniere la standarde europene. Interoperabilitatea end-to-end între sisteme viitoare din sectorul public va fi asigurată în urma emiterii și implementării cadrului național de interoperabilitate, în conformitate cu liniile directoare ale cadrului european de interoperabilitate. Acesta va face parte din Government Enterprise Architecture, al cărui principal obiectiv este să definească un set uniform de standarde, politici şi linii directoare arhitecturale, pe care entitățile publice le vor folosi pentru investiţiile şi iniţiativele TIC. Rezultatul principal al cadrului va fi reducerea numărului de surse de date redundante în administrația publică și sporirea capacității de furnizare a datelor inter-instituționale prin folosirea de formate standard de date.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Principiile inițiativei de e-guvernare vor fi aliniate Directivei 2013/37/EU care promovează ideea de reutilizare a documentelor din sectorul public (adică toate informațiile deținute de către sectorul public, care sunt accesibile publicului în conformitate cu legislația națională pot fi reutilizate atât în scopuri comerciale, cât și non-comerciale, sub condiția ca aceasta să nu aducă atingere dispozițiilor de drept privind protecția datelor).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35. Dezvoltarea în domeniile interoperabilitate și cloud guvernamental presupune standardizarea bazelor de date, a procedurilor de lucru, ceea ce va conduce la eliminarea posibilității duplicării datelor şi implicit la creșterea calității serviciilor publice. Cloud computing-ul implică un ansamblu distribuit de medii de calcul şi stocare, aplicații, acces la informații într-o reţea, unde programul sau aplicaţia poate rula pe mai multe calculatoare conectate simultan, iar utilizatorul nu are nevoie de cunoştinţe specifice a sistemelor care furnizează aceste servicii. Utilizarea cloud computing oferă mai multe avantaje de care atât guvernul, cât și autoritățile publice pot beneficia. Cloud computing-ul guvernamental are un rol dublu. În primul rând, se referă la relația între guvern şi cetățeni sau firme, în contextul e–guvernării; in al doilea rând, vizează stabilirea unui cadru tehnic optim pentru interoperabilitatea instituțiilor publice, în sensul eficientizării livrării de servicii și informații ce deservesc activitatea întreprinderilor și a cetățenilor. Îmbunătățirea serviciilor online va fi realizată cu implicarea directă a utilizatorilor finali prin mecanisme de e-participare şi de media sociale, în condițiile unei conexiuni de bandă largă extinsă la nivel național.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36. Conform Eurostat (2012), 73% dintre români utilizează internetul pentru a citi ziare online. Postarea de mesaje pe platformele online de socializare ocupă locul 2 în clasificarea motivației pentru utilizarea internetului cu 48%, urmată de alte activități precum căutarea de servicii turistice, crearea unui website şi internet banking, aceasta din urmă cu doar 8% dintre utilizatori. Referitor la instituțiile publice, acestea au o reprezentare scăzută pe platformele online de socializare. Majoritatea instituțiilor au dezvoltat un tip de comunicare într-un singur sens, raportând informațiile, fără să permită postarea de comentarii şi primirea unui răspuns în timp real. În acest sens, este nevoie de o impulsionare a sectorului public pentru a folosi mediul online pentru o mai bună comunicare și socializare cu cetățenii și întreprinderile.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37. Zona de securitate cibernetică pentru infrastructura electronică a rețelelor de date, pentru serviciile și comunicațiile electronice reprezintă o altă prioritate la nivel național, având în vedere că spațiul cibernetic cuprinde infrastructură informatică deținută și administrată atât de către stat, cât și de entitățile private. Utilizarea tot mai mare de tehnologii de colaborare - de la dispozitive mobile şi rețele sociale pentru virtualizare şi cloud computing va continua să fie unul dintre factorii cei mai importanţi care influenţează peisajul de securitate. 35% din utilizatorii de Internet au manifestat îngrijorare față de riscurile asociate furnizării de informații personale prin Internet și/sau încălcarea intimității, iar un procent de 45% au manifestat ușoară îngrijorare referitor la contaminarea calculatorului (Eurostat).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38. Mai mult, România se confruntă în prezent cu ameninţări provenite din spaţiul cibernetic la adresa infrastructurilor critice, având în vedere interdependenţa din ce în ce mai ridicată între infrastructurile cibernetice şi alte infrastructuri, precum cele din sectoarele financiar-bancar, transport, energie şi apărare naţională (SSCR). Conform datelor CERT-RO, în 2013 s-au raportat 43+ milioane de înregistrări referitoare la adrese IP implicate în  diverse tipuri de incidente cibernetice și 10.239 de domenii compromise (60% Malicious URL, 27% Defacement, 13% Phishing URL). În plus, au fost depistate 2 campanii de spionaj cibernetic la începutul lui 2013, care au vizat inclusiv instituţii publice din România. De aceea, este necesară intervenția POC pentru creșterea gradului de securitate la nivelul rețelelor/aplicațiilor TIC, pentru a preveni atacuri cibernetice împotriva infrastructurilor care susţin funcţii de utilitate publică ori servicii ale societăţii informaţionale a căror întrerupere/afectare ar putea constitui un pericol la adresa securităţii naţionale. Implementarea intervențiilor se va realiza cu respectarea prevederilor Directivei UE/40/2013 privind atacurile împotriva sistemelor informatice și ale Strategiei de securitate cibernetică a UE 2013. De asemenea, sunt necesare acțiuni în vederea creșterii încrederii cetățenilor/întreprinderilor în ceea ce privește securitatea operațiunilor desfășurate în spațiul cibernetic.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39. În aprilie 2012, Guvernul României şi-a manifestat angajamentul față de guvernarea deschisă în patru zone cheie: transparenţă fiscală şi bugetară, libertatea informaţiei, publicarea averii funcţionarilor publici, participarea cetăţenilor. Prin aprobarea Memo de participare în Parteneriatul pentru o Guvernare Deschisă, a fost adoptat Planul Naţional de Acţiune 2012-2014 în vederea implementării angajamentelor. Datorită accesului liber, direct şi complet la activitatea publică şi a ofertei instrumentelor de supraveghere directă a performanţei activităţii administraţiei publice, datele deschise (Open Data) vor asigura transparența serviciilor publice.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România, alături de celelalte state membre și-a asumat inițiativa Open Data care va conduce la dezvoltarea portalului național de accesibilitate și interoperabilitate, prin intermediul măsurilor de e-guvernare. Portalul de Open Data (finanțat prin POC) va fi funcțional și accesibil din cadrul portalului pan-european și va contribui la inițiativa UE de a facilita interacțiunea transfrontalieră și trans-sectorială dintre administrațiile publice europene prin Serviciul de Infrastructuri Digitale (DSIs).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40. În plus, în multe domenii, volumele de date digitale din ce în ce mai mari, provenite din mai multe surse şi care se materializează în formate diverse necesită noi tehnologii capabile să le structureze. Analizele pe date de dimensiuni mari (big data) pot crește eficienţa şi eficacitatea unei mari arii de responsabilităţi guvernamentale, prin îmbunătățirea proceselor şi operaţiunilor existente şi prin implementarea unora complet noi; de exemplu, administrațiile fiscale si serviciile vamale gestionează informații/asigura servicii cu impact major in mediul de afaceri, dar și în combaterea evaziunii fiscale. Principalele surse de date de tip Big Data vizate de POC la nivel național, sunt cele din domeniul fiscal, statistic, educațional, sănătate, securitate, etc.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41. În concluzie, acţiunile prevăzute de POC în domeniul e-guvernării urmăresc susținerea infrastructurii specifice pentru implementarea serviciilor publice informatizate (bazate pe cele 36 de evenimente de viață):</w:t>
      </w:r>
    </w:p>
    <w:p>
      <w:pPr>
        <w:numPr>
          <w:ilvl w:val="0"/>
          <w:numId w:val="4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Dezvoltarea de rețele și sisteme de securitate cibernetică,</w:t>
      </w:r>
    </w:p>
    <w:p>
      <w:pPr>
        <w:numPr>
          <w:ilvl w:val="0"/>
          <w:numId w:val="4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Asigurarea standardizării și a interoperabilității,</w:t>
      </w:r>
    </w:p>
    <w:p>
      <w:pPr>
        <w:numPr>
          <w:ilvl w:val="0"/>
          <w:numId w:val="4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Creșterea gradului de utilizare a serviciilor de cloud computing,</w:t>
      </w:r>
    </w:p>
    <w:p>
      <w:pPr>
        <w:numPr>
          <w:ilvl w:val="0"/>
          <w:numId w:val="4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Promovarea serviciilor informatizate oferite de către administrația publică,</w:t>
      </w:r>
    </w:p>
    <w:p>
      <w:pPr>
        <w:numPr>
          <w:ilvl w:val="0"/>
          <w:numId w:val="4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Promovarea rețelelor sociale la nivelul serviciilor publice,</w:t>
      </w:r>
    </w:p>
    <w:p>
      <w:pPr>
        <w:numPr>
          <w:ilvl w:val="0"/>
          <w:numId w:val="4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Promovarea utilizării Big Data si Open Data.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TIC pentru educație, sănătate și cultură</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Educație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42. Potrivit datelor SAD 2012, 85% dintre cetățenii români au compentenţe digitale scăzute sau nu dispun de astfel de competenţe, comparativ cu media UE de 47%. Categoriile defavorizate din România, cum ar fi persoanele cu un nivel scăzut de educație, șomerii, sau pensionarii, au mult mai puţine competenţe digitale decât media UE.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43. România parcurge în prezent procesul de raționalizare și restructurare a reţelei școalare care vizează creșterea eficienței sistemului. Cu toate acestea, o mare parte a infrastructurii de educație continuă să fie depășită și neatractivă și limitează eficiența politicilor existente axate pe îmbunătățirea calității educației. Societatea bazată pe cunoaștere și pe utilizarea TIC aduce schimbări radicale atât în ceea ce priveşte natura învăţării, cât şi în procesul muncii. Instrumentele de tip TIC, care sprijină procesul de învățare, au un grad mare de relevanță în sprijinirea dezvoltării profesionale după absolvire și pentru continuarea învățării pe tot parcursul vieții.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44. Un pas important menit să contribuie la dezvoltarea competenţelor digitale este proiectul „Internet în şcoala ta, prin care se urmăreşte conectarea la internet de mare viteză a unităților școlare din zona rurală și mic urbană”, care a ajuns în prezent în faza de livrare, instalare, testare și acceptare a echipamentelor pentru fiecare locație de tip NLC. Alte proiecte care au contribuit la dezvoltarea sistemului educaţional prin TIC sunt: e-şcoală, Şcoala - membru activ al societăţii informaţionale şi Sprijinirea sistemului educaţional special prin portaluri educaţionale dedicate.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45. Educația formală, include elementele de bază în domeniul TIC. Cu toate aceastea, este necesară adaptarea modelelor didactice pentru utilizarea TIC, în special pentru dezvoltarea anumitor abilități, cum ar fi: comunicarea, creativitatea, spiritul antreprenorial etc. Prioritatea POC în acest sens este de a susține sistemul de educație prin utilizarea unei varietăți de instrumente care deschid noi posibilităţi în sala de clasă și permit adaptarea procesului de învăţământ la nevoile fiecărui elev, oferind astfel competenţele digitale necesare pentru a activa în mod eficient și semnificativ într-o economie bazată pe cunoaştere. Un rol important, în acest sens, va fi deţinut de implementarea Bibliotecii Școlare Virtuale și a Platformei Școlare de e-learning, definite prin Legea educației naționale nr.1/2011, cu modificările și completările ulterioare, și aflate în gestiunea MEN.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46. Având în vedere cele de mai sus, dar și abordarea tridimensională a TIC în învățământul preuniversitar (disciplină de studiu, resursă didactică, mediu de consolidare a învățării), au fost identificate următoarele obiective, in concordanta cu strategiile naționale relevante:</w:t>
      </w:r>
    </w:p>
    <w:p>
      <w:pPr>
        <w:numPr>
          <w:ilvl w:val="0"/>
          <w:numId w:val="4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Crearea de rețele și platforme care să faciliteze schimbul de cunoștințe, informații, bune practici și inovarea în educație;</w:t>
      </w:r>
    </w:p>
    <w:p>
      <w:pPr>
        <w:numPr>
          <w:ilvl w:val="0"/>
          <w:numId w:val="4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Asigurarea, la nivelul unităților de învățământ, a infrastructurii și echipamentelor, inclusiv a sustenabilității, mentenanței și suportului TIC;</w:t>
      </w:r>
    </w:p>
    <w:p>
      <w:pPr>
        <w:numPr>
          <w:ilvl w:val="0"/>
          <w:numId w:val="4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Crearea unei culturi digitale în procesul de predare – învățare – evaluare, a leadership-ului și managementului școlii prin implementarea de sisteme informatice de suport.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47. Eliminat ca urmare a deciziei CMPOC nr. 20/23.04.2018.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48. Eliminat ca urmare a deciziei CMPOC nr. 20/23.04.2018.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49. Eliminat ca urmare a deciziei CMPOC nr. 20/23.04.2018.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50. Eliminat ca urmare a deciziei CMPOC nr. 20/23.04.2018.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51. Eliminat ca urmare a deciziei CMPOC nr. 20/23.04.2018.</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Sănătate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52. În 2013, 35% din spitalele din România aveau conexiune de bandă largă, cu viteze de peste 50Mbps, sub media UE de 36%, iar 28% dintre spitale au schimbat informaţii clinice cu furnizorii de asistenţă medicală externi sau cu profesioniştii în domeniu, mult sub media UE de 55%. În ceea ce privește accesul pacienților total sau parțial la registrele lor medicale, 6% din spitalele din România oferă pacienților acest tip de serviciu, sub media UE de 9% (SAD 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53. În prezent, în domeniul sănătăţii există multe sisteme informaționale care funcţionează în paralel prin care se colectează și se gestionează informații (sistemul GDI, sistemul RE, SCAS și GEF), care îngreunează procesul decizional  la nivel de conducere. Dezvoltarea unui sistem infomatic integrat de e-sănătate urmărește acțiuni de dezvoltare și consolidare a sistemelor informaționale existene și de creștere a gradului de interoperabilitate a acestora, vizând atât furnizorii de servicii de sănătate publici, cât și pe cei privați,  ca suport în procesul de luare a deciziilor.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54. Pe de altă parte, lipsa de resurse umane specializate în zonele geografice îndepărtate poate face obiectul unor măsuri compensatorii prin intermediul tehnologiei moderne (telemedicina). Așa cum se arată în AP având în vedere sistemul de informații disparate și fragmentate de astăzi, utilizarea suboptimală a tehnologiilor de e-sănătate și interoperabilitatea limitată, prezintă obstacole uriașe cu privire la performanța sectorului sănătății. O capacitate crescută a sistemului de gestiune necesită o disponibilitate mai bună de utilizare a TIC, instrumente tehnologice în cadrul e-sănătate (interoperabilitatea sistemelor, telemedicină, integrare a bazelor de date și registre existente, continuarea includerii standardului HL7 pentru interoperabilitate și a standardului CDA pentru schimbul de documente).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Prin OUG Nr. 8/2018 din 22 februarie 2018 privind reglementarea unor măsuri în domeniul sănătății, legislația națională (Legea nr. 95/2006 privind reforma în domeniul sănătății) în domeniul telemedicinei a fost modificată.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Potrivit noilor prevederi, „Începând cu anul 2018, din sistemul informatic și informațional din sănătate fac parte și sistemul informatic de telemedicină rurală și sistemul informatic de telemedicină al apărării, proiecte de utilitate publică de interes național, asigurând implementarea și interoperabilitatea acestora cu celelalte sisteme informatice și informaționale din sănătate. Ministerul Sănătății, respectiv Ministerul Apărării Naționale implementează cele două sisteme informatice de telemedicină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Astfel, OUG nr. 8/2018 reglementează rolul MApN ca instituție cu rol de coordonare în sistemul național de sănătate, alături de Ministerul Sănătății. Rețeaua sanitară a MApN are o acoperire națională, cu 11 unități spitalicești active în mari centre urbane și alte 5 unități sanitare. Acest sistem nu se adresează exclusiv personalului militar, ci este unul public.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anul 2018, în spitalele militare au fost internate 124.371 de persoane din care 19% (24.029)  au fost beneficiari ai Legii nr. 80/1995 (militari și pensionari militari), 1% (1.273) beneficiari ai altor legi speciale, 6% (7.711) alte categorii de asigurați ai C.A.S.A.O.P.S.N.A.J. (asigurați militari, dar și civili angajați ai administrației publice) și 74 % (91.358)  civili fără legătură cu armata. În total s-au înregistrat 704.054 zile de spitalizare. Așadar, între 75% și 80% din numărul anual de pacienți ai spitalelor militare sunt civili.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55. Atât SNADR cat si strategia naționala in domeniul sănătății vizează eficientizarea sistemului de sănătate prin accelerarea utilizării instrumentelor TIC moderne de tip e-sănătate. Această abordare include două direcții majore: (1) Dezvoltarea unui sistem informatic integrat în domeniul sănătății prin implementarea de soluții sustenabile de e-sănătate; (2) creșterea accesului la servicii de sănătate de calitate la costuri eficiente prin utilizarea serviciilor de telemedicină, care se adresează cetățenilor, în special a celor din grupurile vulnerabile.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56. Având în vedere cele de mai sus, POC vizează susținerea infrastructurii specifice pentru a atinge următoarele obiective:</w:t>
      </w:r>
    </w:p>
    <w:p>
      <w:pPr>
        <w:numPr>
          <w:ilvl w:val="0"/>
          <w:numId w:val="4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Digitalizarea înregistrărilor în domeniul sănătăţii;</w:t>
      </w:r>
    </w:p>
    <w:p>
      <w:pPr>
        <w:numPr>
          <w:ilvl w:val="0"/>
          <w:numId w:val="4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Asigurarea interoperabilității și schimbului de date standardizate între spitale, medici, farmaciști, pacienți și toate celelalte instituții implicate;</w:t>
      </w:r>
    </w:p>
    <w:p>
      <w:pPr>
        <w:numPr>
          <w:ilvl w:val="0"/>
          <w:numId w:val="4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Continuarea extinderii serviciilor de telemedicină din România (schimbul de date în situații de urgență, consultarea și/sau acordarea celui de-al doilea aviz de la distanţă, educație și formare profesională pentru personalul medical și sprijinirea populației prin sfaturi medicale).</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Cultură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57. În România, asemeni tuturor statelor membre, accesibilitatea on-line a patrimoniului cultural european necesită crearea condițiilor pentru digitalizarea, accesibilitatea on-line şi conservarea conţinutului. Conform SNADR și în concordanță cu strategia națională în domeniul culturii și patrimoniului național, unul dintre obiectivele asumate de România este de a contribui la inițiativa Europeana cu 750.000 articole. În urma implementării programului național pentru digitizarea resurselor culturale naționale au fost digitizați aprox. 64.000 obiecte (reprezentând 4,6% din ținta asumată) care au fost incluși în inițiativa Europeana. Programul a stagnat din 2009, din cauza lipsei resurselor financiare. Din evaluarea Ministerului Culturii au fost identificate 10 instituții culturale care dețin patrimoniu suficient pentru a asigura masa critică de material care urmează să fie digitizat în vederea atingerii țintei asumate de România, prioritizarea vizând obiectele mobile care sunt analizate la nivelul unor Comisii de specialitate aflate în coordonarea ministerului. Promovarea valorilor culturale ale României, în domeniile artei şi ştiinţei contribuie implicit la recunoașterea acestora pe scena naţională şi internaţională. Scopul bibliotecii digitale Europeana, adoptat şi de România, este de a face cultura accesibilă publicului larg, în mod deschis, pentru a promova schimbul de idei și informații, ceea ce contribuie la o mai bună înţelegere a diversităţii culturale și nu în cele din urmă la o economie a cunoașterii înfloritoare.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58. În același timp, investițiile în e-cultură au potențialul de a îmbogăți educația în România și de a promova turismul, de a îmbunătăți accesul publicului la resursele culturale și de a stimula sectorul creativ digital prin crearea unei noi piețe pentru servicii digitale şi multimedia. Odată ce portofoliul digital de elemente culturale naţionale va fi creat și inclus în biblioteca digitală europeană, va conduce la creşterea vizibilităţii ţării, oferind strănilor motivația de a vizita România. De asemenea, mediul de afaceri poate beneficia de această acţiune pentru a promova turismul, comercializarea de produse sau campanii de branding, prin utilizarea informaţiilor digitalizate legate de tradiţie etc., uşor disponibile astfel prin intermediul bibliotecii digitale.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59. Având în vedere cele de mai sus, POC vizează susținerea infrastructurii specifice pentru a atinge următoarele obiective:</w:t>
      </w:r>
    </w:p>
    <w:p>
      <w:pPr>
        <w:numPr>
          <w:ilvl w:val="0"/>
          <w:numId w:val="4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Agregarea resurselor culturale digitizate, într-un punct de acces unic;</w:t>
      </w:r>
    </w:p>
    <w:p>
      <w:pPr>
        <w:numPr>
          <w:ilvl w:val="0"/>
          <w:numId w:val="4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Dezvoltarea de arhive digitale și creșterea contribuției României la promovarea și crearea unor comunități specifice şi realizarea unui conținut digital original;</w:t>
      </w:r>
    </w:p>
    <w:p>
      <w:pPr>
        <w:numPr>
          <w:ilvl w:val="0"/>
          <w:numId w:val="4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Contribuția României la dezvoltarea Europeana, în strânsă colaborare cu toate instituțiile implicate.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Dezvoltarea inovării prin clustere TIC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60. Potrivit datelor SAD 2013, în 2013, 8% dintre cetățenii români au cumpărat bunuri sau servicii online, România situându-se sub media UE de 47% . În general, creșterea înregistrată în acest sector este foarte mică şi a început în anul 2006 când doar 1% din populație a utilizat internetul pentru cumpărături online înregistrând un trend fluctuant de-a lungul următorilor ani.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61. SNCDI și SNC au indicat domeniul TIC ca prioritar, acesta fiind unul dintre domeniile de specializare inteligentă în care Romania a demonstrat că are potențial, inclusiv prin asigurarea dezvoltării în întreaga economie. Bazele de datele de dimensiuni mari, internetul pentru viitor, calculele de înaltă performanță sunt doar câteva dintre multiplele domenii în care TIC şi CDI se întâlnesc cu piața. Totuşi, utilizarea instrumentelor TIC de către IMM-uri este scăzută. În general, principalele lanțuri valorice sectoriale nu integrează suficient intrările din domeniul TIC, ceea ce duce la un handicap competitiv la nivel global.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62. O mare parte a industriei interne TIC realizează servicii de outsourcing. Dezvoltarea de produse originale pe bază de drepturi proprii de proprietate intelectuală este doar la un stadiu incipient. Cu toate acestea, în ultima perioadă cazurile în care antreprenorii români vând produse software direct pe piața mondială sunt mai frecvente, ceea ce arată că succesul este posibil și demonstrează un potențial încă neexploatat suficient. Din perspectiva inovării, o serie de clustere au fost formate recent în câteva orașe mari (Cluj, Timișoara, Iași, Brașov), fiind necesară dezvoltarea acestor structuri competitive pentru a promova cultura de afaceri asociativă în rândul antreprenorilor. Nivelul de colaborare între întreprinderile din industria TIC este încă scăzut, mai ales la nivel teritorial. Inovarea, prin intermediul produselor și serviciilor TIC, va fi sprijinită în anii următori pentru a dezvolta sectorul european de e-comerț și piața unică digitală, precum și pentru a sprijini ramura economică națională corespunzătoare.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64. Intervenţiile POC în domeniul cercetării, dezvoltării și inovării în clustere TIC au ca scop:</w:t>
      </w:r>
    </w:p>
    <w:p>
      <w:pPr>
        <w:numPr>
          <w:ilvl w:val="0"/>
          <w:numId w:val="4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Integrarea soluțiilor TIC în celelalte ramuri ale economiei românești;</w:t>
      </w:r>
    </w:p>
    <w:p>
      <w:pPr>
        <w:numPr>
          <w:ilvl w:val="0"/>
          <w:numId w:val="4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Inovarea în domeniul TIC la nivel național/internațional.</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Infrastructura în banda larga rapidă și ultra-rapidă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65. Unul dintre principalii factori cu impact major asupra succesului Agendei Digitale și a performantei sectorului TIC este reprezentat de dezvoltarea serviciilor de comunicații și creșterea ratei de penetrare a conexiunilor rapide și ultrarapide de bandă largă. Infrastructura de bandă largă joacă un rol foarte important, având în vedere implicațiile TIC asupra economiei.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66. În 2013, reţelele NGA au ajuns la 66% din totalul reţelelor în bandă largă, România deţinând cel mai mare procent din UE, iar ca procent din numărul populaţiei a ajuns la 11% în ianuarie 2012, aflându-se peste media UE de 3%. Este de menţionat faptul că gradul de penetrare a tehnologiilor mobile de internet în bandă largă a atins 37,4% (7,1 milioane conexiuni), sub media UE de 54,1%.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67. În ceea ce privește raportul dintre numărul de gospodării cu acces la Internet și cei care au acces la o conexiune de bandă largă, se observă o reducere a discrepanțelor de-a lungul timpului. Dacă în 2006 doar 5% dintre gospodăriile cu acces la Internet (14% din numărul total de gospodării) a avut o conexiune în bandă largă, în 2012, ponderea conexiunilor în bandă largă în numărul total de gospodării cu acces la Internet (54% din total) a crescut la 50%.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68. Numărul total de conexiuni la Internet în bandă largă de bază la punct fix a fost de 3,8 milioane la sfârșitul anului 2013, iar rata de penetrare la 100 de locuitori a fost de 18,8%. Cu toate acestea, România încă deţine cea mai mică rată de penetrare a conexiunilor la Internet în bandă largă de bază la punct fix din UE, care a înregistrat o valoare de 28,7% în 2012. Având în vedere că investițiile în infrastructură au vizat în cea mai mare parte zonele urbane (penetrare de 60,28% în 2013) și mai puțin zonele rurale (penetrare de 23,47%), raportat la numărul de gospodării, este nevoie de mecanisme de încurajare a investițiilor în mediul rural, dat fiind că nu există interes din partea investitorilor pentru aceste zone.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69. Dezvoltarea infrastructurii de bază în bandă largă (backbone și backhaul cu posibilitatea de modernizare NGA), ca parte a Strategiei naționale de bandă largă 2009 – 2015, a vizat acoperirea zonelor albe prin implementarea proiectului RoNet care acoperă 783 localităţi (392.000 de gospodării) şi a proiectelor proiecte finanţate prin FEADR. În etapa pregătitoare, pe baza statisticilor ANCOM au fost identificate la nivel național un număr de 2.287 localități care nu dispun de infrastructură în bandă largă și pentru care niciun operator nu a manifestat interes pentru extindere a rețelelor în următorii trei ani (zone albe).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70. A fost dezvoltată o hartă digitală cu acoperirea serviciilor de comunicații electronice la puncte fixe care reflectă situația privind tehnologia prin care se asigură acoperirea cu infrastructură în bandă largă în fiecare localitate, care va fi actualizată de către ANCOM, anual, cu informații de la operatori; harta este disponibilă pe site-ul autorității de reglementare în domeniul comunicațiilor (ANCOM). ANCOM urmează să dezvolte de asemenea o hartă cu acoperirea serviciilor de comunicații electronice la puncte mobile.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71. În perioada 2014-2020, potrivit SNADR, vor continua investițiile destinate dezvoltării la nivel național a rețelelor de generație viitoare (backbone și backhaul), iar finanțarea va fi asigurată prin FEDR în cadrul POC și prin FEADR în cadrul intervențiilor de tip LEADER, acestea din urmă ținând seama și de strategiile realizate la nivel local. MSI va asigura coordonarea acestor acțiuni prin intermediul unor scheme de ajutor de stat și a unor măsuri adiționale de natură să încurajeze investițiile private în acest sector. Măsurile de sprijin vor fi instituite pe baza analizelor de piață realizate de ANCOM, instituție care va monitoriza evoluția pieței în domeniu și care va identifica atât zonele albe, cât și nevoile de investiții. În același timp, MSI va colabora cu MADR în vederea asigurării complementarităţii intervenţiilor finanţate din FEDR în cadrul POC şi a intervenţiilor finanţate din FEADR în cadrul Leader.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72. Intervențiile în zonele albe se vor realiza ținând seama de o serie de principii și criterii: analiza detaliată privind acoperirea cu infrastructură în bandă largă, consultare publică, procedură deschisă de achiziții și selecția celei mai avantajoase oferte din punct de vedere economic, principiile privind neutralitatea din punct de vedere tehnologic, utilizarea deschisă a infrastructurii existente, asigurarea accesului, politica de prețuri, monitorizare și mechanism claw-back, transparență, raportare etc.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73. Intervențiile POC în domeniul susținerii dezvoltării NGA/NGN se rezumă la acoperirea parțială cu infrastructurile de rețea și acces necesare. Autorităţile publice responsabile vor apela la surse alternative de finanţare existente la nivel european pentru 2014-2020 precum CEF.</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Capital de lucru și investiții productive în contextul COVID 19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74. România, ca și celelalte state membre ale UE, a fost afectată de criza economică generată de  pandemia COVID‐19. Criza economică afectează activitatea întreprinderilor și în special a întreprinderilor mici și mijlocii (IMM), acestea confruntându-se cu un deficit brusc de lichidități sau chiar cu indisponibilitatea lichidităților.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75. Ca urmare a crizei, tot mai multe companii care altfel ar fi viabile se vor confrunta cu probleme de solvabilitate, iar sprijinul pentru lichidități din fonduri naționale nu va fi suficient. Acest lucru este în parte legat de faptul că sprijinul de lichiditate ia în mod obișnuit forma împrumuturilor, ceea ce poate slăbi și mai mult bilanțurile întreprinderilor, deoarece multe companii au asistat la o creștere constantă a capitalului împrumutat în ultimii ani.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76. Întreprinderile pot condiționa parțial pierderile suportate, bazându-se pe active lichide și pe fondul de rulment, dar în multe cazuri aceste tampoane nu vor fi suficiente. Estimările Comisiei Europene arată că între 35% și 50% din firmele cu mai mult de 20 de angajați ar putea întâmpina deficiențe de capital de lucru până la sfârșitul anului, în funcție de situația centrală sau de stres.  Acest lucru înseamnă că multe întreprinderi din România au intrat în criză pe un nivel financiar relativ slab și sunt susceptibile de a observa o deteriorare rapidă a câștigurilor companiei și a disponibilului de capitaluri pe măsură ce recesiunea se desfășoară.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77.Impactul deficitului de capital va fi inegal între sectoarele și ecosistemele industriale, ceea ce va duce la divergențe pe piață și va dăuna potențialului productiv și capacității de  recuperare din recesiune. Dacă sunt neadresate, aceste diferențe ar duce la o denaturare permanentă a condițiilor de concurență echitabile și la o extindere suplimentară a disparităților economice în cadrul Uniunii.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78.O primă intervenție a Guvernului României pentru adresarea acestor probleme și pentru limitarea efectelor negative ale pandemiei a  fost realizată prin Ministerul Finanțelor Publice. Cu toate acestea, aceste instrumente nu pot acoperi întreg necesarul de finanțare pentru IMM-uri, fiind necesare instrumente suplimentare de finanțare și din fonduri europene nerambursabile.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79. Mai mult decât atât, conform Asociației Române a Băncilor, peste 1 milion de angajați sunt în șomaj tehnic și peste 200.000 de oameni au rămas fără job de când a început criza.Potrivit unui studiu al Consiliului Național pentru Întreprinderile Mici și Mijlocii (CNIMM), printre principalele efecte pe care le simt antreprenorii ca urmare a pandemiei de coronavirus sunt:</w:t>
      </w:r>
    </w:p>
    <w:p>
      <w:pPr>
        <w:numPr>
          <w:ilvl w:val="0"/>
          <w:numId w:val="5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scăderea vânzărilor;</w:t>
      </w:r>
    </w:p>
    <w:p>
      <w:pPr>
        <w:numPr>
          <w:ilvl w:val="0"/>
          <w:numId w:val="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suspendarea temporară a activității;</w:t>
      </w:r>
    </w:p>
    <w:p>
      <w:pPr>
        <w:numPr>
          <w:ilvl w:val="0"/>
          <w:numId w:val="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disponibilizări;</w:t>
      </w:r>
    </w:p>
    <w:p>
      <w:pPr>
        <w:numPr>
          <w:ilvl w:val="0"/>
          <w:numId w:val="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restrângerea activității;</w:t>
      </w:r>
    </w:p>
    <w:p>
      <w:pPr>
        <w:numPr>
          <w:ilvl w:val="0"/>
          <w:numId w:val="5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întârzieri la plata furnizorilor;</w:t>
      </w:r>
    </w:p>
    <w:p>
      <w:pPr>
        <w:numPr>
          <w:ilvl w:val="0"/>
          <w:numId w:val="5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închiderea unor firme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80. În același timp estimările Euler Hermes estimează o creștere de peste 12% a insolvențelor în România, sectoarele cele mai expuse la risc sunt serviciile, turismul și transporturile.Pandemia COVID-19 influențează dezvoltarea companiilor românești, inclusiv evoluția firmelor tech cu potențial de creștere accelerată. ScaleOut, program de internaționalizare a firmelor românești al Fundației Romanian Business Leaders, a realizat un studiu, care a constat că 36,7% dintre fondatorii intervievați au văzut deja evoluții negative și schimbări în business, iar 40,4% estimează că vor fi efecte asupra dezvoltării pe termen scurt și mediu. Pe un ton optimist, studiul ScaleOut relevă că 38,5% dintre fondatorii români de firme tech de tip start-up și scaleup vor reduce costurile cu forța de muncă din cauza Covid-19.O altă analiză  a Comisie naționale de Strategie și Prognoză a identificat o serie de domenii a căror activitate a scăzut abrupt printre care amintim fabricarea de mobilă, fabricarea autovechicolelor, tăbăcirea și finisarea pieilorm prelucrarea lemnului, industria contrucțiilor metalice etc.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81. Intervențiile POC vor acoperi investiții în microgranturi și granturi pentru capital de lucru și granturi pentru investiții productive  a întreprinderilor afectate de COVID 19. Totodată,  pentru acoperirea acestor investiții se va finanța și o platforma IT inclusiv costurile de operare în vederea asigurării unui răspns rapid la efectele crizei.</w:t>
      </w:r>
    </w:p>
    <w:p w:rsidR="008D5009" w:rsidP="008D5009">
      <w:pPr>
        <w:pStyle w:val="Text1"/>
        <w:spacing w:before="0" w:after="0"/>
        <w:ind w:left="0"/>
        <w:rPr>
          <w:lang w:eastAsia="fr-BE"/>
        </w:rPr>
      </w:pPr>
    </w:p>
    <w:p w:rsidR="008D5009" w:rsidRPr="00B724CB" w:rsidP="008D5009">
      <w:pPr>
        <w:spacing w:before="0" w:after="0"/>
        <w:rPr>
          <w:b/>
          <w:noProof/>
          <w:sz w:val="22"/>
          <w:szCs w:val="22"/>
          <w:lang w:eastAsia="fr-BE"/>
        </w:rPr>
      </w:pPr>
      <w:r>
        <w:rPr>
          <w:noProof/>
          <w:lang w:eastAsia="fr-BE"/>
        </w:rPr>
        <w:t>1.1.2 A justification for the choice of thematic objectives and corresponding investment priorities having regard to the partnership agreement, based on an identification of regional and, where appropriate, national needs including the need to address the challenges identified in relevant country-specific recommendations adopted in accordance with Article 121(2) TFEU and the relevant Council recommendations adopted in accordance with Article 148(4) TFEU, taking into account the ex-ante evaluation.</w:t>
      </w:r>
    </w:p>
    <w:p w:rsidR="008D5009" w:rsidRPr="00B724CB" w:rsidP="008D5009">
      <w:pPr>
        <w:spacing w:before="0" w:after="0"/>
        <w:rPr>
          <w:b/>
          <w:noProof/>
          <w:sz w:val="22"/>
          <w:szCs w:val="22"/>
          <w:lang w:eastAsia="fr-BE"/>
        </w:rPr>
      </w:pPr>
    </w:p>
    <w:p w:rsidR="008D5009" w:rsidRPr="00710E80" w:rsidP="008D5009">
      <w:pPr>
        <w:keepNext/>
        <w:spacing w:before="0" w:after="0"/>
        <w:rPr>
          <w:noProof/>
          <w:sz w:val="22"/>
          <w:szCs w:val="22"/>
          <w:lang w:eastAsia="fr-BE"/>
        </w:rPr>
      </w:pPr>
      <w:r w:rsidRPr="00710E80">
        <w:rPr>
          <w:b/>
          <w:noProof/>
          <w:sz w:val="22"/>
          <w:szCs w:val="22"/>
          <w:lang w:eastAsia="fr-BE"/>
        </w:rPr>
        <w:t>Table 1: Justification for the selection of thematic objectives and investment priorities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5"/>
        <w:gridCol w:w="4246"/>
        <w:gridCol w:w="283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spacing w:before="0" w:after="0"/>
              <w:jc w:val="center"/>
              <w:rPr>
                <w:b/>
                <w:noProof/>
                <w:color w:val="000000"/>
                <w:sz w:val="18"/>
                <w:szCs w:val="18"/>
                <w:lang w:eastAsia="fr-BE"/>
              </w:rPr>
            </w:pPr>
            <w:r w:rsidRPr="00D6078B">
              <w:rPr>
                <w:b/>
                <w:noProof/>
                <w:color w:val="000000"/>
                <w:sz w:val="18"/>
                <w:szCs w:val="18"/>
                <w:lang w:eastAsia="fr-BE"/>
              </w:rPr>
              <w:t>Selected thematic objective</w:t>
            </w:r>
          </w:p>
        </w:tc>
        <w:tc>
          <w:tcPr>
            <w:shd w:val="clear" w:color="auto" w:fill="auto"/>
          </w:tcPr>
          <w:p w:rsidR="008D5009" w:rsidRPr="00D6078B" w:rsidP="00426349">
            <w:pPr>
              <w:spacing w:before="0" w:after="0"/>
              <w:jc w:val="center"/>
              <w:rPr>
                <w:b/>
                <w:noProof/>
                <w:color w:val="000000"/>
                <w:sz w:val="18"/>
                <w:szCs w:val="18"/>
                <w:lang w:eastAsia="fr-BE"/>
              </w:rPr>
            </w:pPr>
            <w:r w:rsidRPr="00D6078B">
              <w:rPr>
                <w:b/>
                <w:noProof/>
                <w:color w:val="000000"/>
                <w:sz w:val="18"/>
                <w:szCs w:val="18"/>
                <w:lang w:eastAsia="fr-BE"/>
              </w:rPr>
              <w:t>Selected investment priority</w:t>
            </w:r>
          </w:p>
        </w:tc>
        <w:tc>
          <w:tcPr>
            <w:shd w:val="clear" w:color="auto" w:fill="auto"/>
          </w:tcPr>
          <w:p w:rsidR="008D5009" w:rsidRPr="00D6078B" w:rsidP="00426349">
            <w:pPr>
              <w:spacing w:before="0" w:after="0"/>
              <w:jc w:val="center"/>
              <w:rPr>
                <w:b/>
                <w:noProof/>
                <w:color w:val="000000"/>
                <w:sz w:val="18"/>
                <w:szCs w:val="18"/>
                <w:lang w:eastAsia="fr-BE"/>
              </w:rPr>
            </w:pPr>
            <w:r w:rsidRPr="00D6078B">
              <w:rPr>
                <w:b/>
                <w:noProof/>
                <w:color w:val="000000"/>
                <w:sz w:val="18"/>
                <w:szCs w:val="18"/>
                <w:lang w:eastAsia="fr-BE"/>
              </w:rPr>
              <w:t>Justification for selection</w:t>
            </w: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01 - </w:t>
            </w:r>
            <w:r w:rsidRPr="00A15CFE">
              <w:rPr>
                <w:noProof/>
                <w:color w:val="000000"/>
                <w:sz w:val="20"/>
                <w:szCs w:val="20"/>
                <w:lang w:eastAsia="fr-BE"/>
              </w:rPr>
              <w:t>Strengthening research, technological development and innovation</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1a - </w:t>
            </w:r>
            <w:r w:rsidRPr="00A15CFE">
              <w:rPr>
                <w:noProof/>
                <w:color w:val="000000"/>
                <w:sz w:val="20"/>
                <w:szCs w:val="20"/>
                <w:lang w:eastAsia="fr-BE"/>
              </w:rPr>
              <w:t>Enhancing research and innovation (R&amp;I) infrastructure and capacities to develop R&amp;I excellence, and promoting centres of competence, in particular those of European interest</w:t>
            </w:r>
          </w:p>
        </w:tc>
        <w:tc>
          <w:tcPr>
            <w:shd w:val="clear" w:color="auto" w:fill="auto"/>
          </w:tcPr>
          <w:p>
            <w:pPr>
              <w:numPr>
                <w:ilvl w:val="0"/>
                <w:numId w:val="7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SNCDI</w:t>
            </w:r>
          </w:p>
          <w:p>
            <w:pPr>
              <w:numPr>
                <w:ilvl w:val="0"/>
                <w:numId w:val="7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SNC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Situaţia în România este caracterizată prin:</w:t>
            </w:r>
          </w:p>
          <w:p>
            <w:pPr>
              <w:numPr>
                <w:ilvl w:val="0"/>
                <w:numId w:val="7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Politicile de cercetare, inovare și cele industriale nu sunt integrate suficient;</w:t>
            </w:r>
          </w:p>
          <w:p>
            <w:pPr>
              <w:numPr>
                <w:ilvl w:val="0"/>
                <w:numId w:val="7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Sistemul CDI este fragmentat (număr mare de instituții de cercetare, combinat cu lipsa de masă critică a rezultatelor de calitate);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Lipsa concentrării excelenței și a presiunii de valorificare a rezultatelor CD a condus la un nivel scăzut al publicațiilor științifice și al cererilor de brevete.</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01 - </w:t>
            </w:r>
            <w:r w:rsidRPr="00A15CFE">
              <w:rPr>
                <w:noProof/>
                <w:color w:val="000000"/>
                <w:sz w:val="20"/>
                <w:szCs w:val="20"/>
                <w:lang w:eastAsia="fr-BE"/>
              </w:rPr>
              <w:t>Strengthening research, technological development and innovation</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1b - </w:t>
            </w:r>
            <w:r w:rsidRPr="00A15CFE">
              <w:rPr>
                <w:noProof/>
                <w:color w:val="000000"/>
                <w:sz w:val="20"/>
                <w:szCs w:val="20"/>
                <w:lang w:eastAsia="fr-BE"/>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p>
        </w:tc>
        <w:tc>
          <w:tcPr>
            <w:shd w:val="clear" w:color="auto" w:fill="auto"/>
          </w:tcPr>
          <w:p>
            <w:pPr>
              <w:numPr>
                <w:ilvl w:val="0"/>
                <w:numId w:val="8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Strategia Națională de CDI</w:t>
            </w:r>
          </w:p>
          <w:p>
            <w:pPr>
              <w:numPr>
                <w:ilvl w:val="0"/>
                <w:numId w:val="8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Strategia Națională de Competitivitate</w:t>
            </w:r>
          </w:p>
          <w:p>
            <w:pPr>
              <w:spacing w:before="240" w:after="240"/>
              <w:ind w:left="360"/>
              <w:jc w:val="left"/>
              <w:rPr>
                <w:rFonts w:ascii="Times New Roman" w:eastAsia="Times New Roman" w:hAnsi="Times New Roman" w:cs="Times New Roman"/>
              </w:rPr>
            </w:pPr>
            <w:r>
              <w:rPr>
                <w:rFonts w:ascii="Times New Roman" w:eastAsia="Times New Roman" w:hAnsi="Times New Roman" w:cs="Times New Roman"/>
                <w:sz w:val="20"/>
                <w:szCs w:val="20"/>
              </w:rPr>
              <w:t>Situația din România este caracterizată prin:</w:t>
            </w:r>
          </w:p>
          <w:p>
            <w:pPr>
              <w:numPr>
                <w:ilvl w:val="0"/>
                <w:numId w:val="8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 Una dintre cele mai mici intensități a CD  din UE, reprezentând mai puțin de un sfert din ținta de 2% pentru 2020;</w:t>
            </w:r>
          </w:p>
          <w:p>
            <w:pPr>
              <w:numPr>
                <w:ilvl w:val="0"/>
                <w:numId w:val="8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Investiții private de CD de 0,17% din PIB în 2011, fiind printre cele mai scăzute din UE;</w:t>
            </w:r>
          </w:p>
          <w:p>
            <w:pPr>
              <w:numPr>
                <w:ilvl w:val="0"/>
                <w:numId w:val="8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Activitatea de brevetare scăzută;</w:t>
            </w:r>
          </w:p>
          <w:p>
            <w:pPr>
              <w:numPr>
                <w:ilvl w:val="0"/>
                <w:numId w:val="8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Companiile neinteresate de exploatarea rezultatelor cercetării;</w:t>
            </w:r>
          </w:p>
          <w:p>
            <w:pPr>
              <w:numPr>
                <w:ilvl w:val="0"/>
                <w:numId w:val="8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Legături fragile între educație, cercetare și afaceri. </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02 - </w:t>
            </w:r>
            <w:r w:rsidRPr="00A15CFE">
              <w:rPr>
                <w:noProof/>
                <w:color w:val="000000"/>
                <w:sz w:val="20"/>
                <w:szCs w:val="20"/>
                <w:lang w:eastAsia="fr-BE"/>
              </w:rPr>
              <w:t>Enhancing access to, and use and quality of, information and communication technologies</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2a - </w:t>
            </w:r>
            <w:r w:rsidRPr="00A15CFE">
              <w:rPr>
                <w:noProof/>
                <w:color w:val="000000"/>
                <w:sz w:val="20"/>
                <w:szCs w:val="20"/>
                <w:lang w:eastAsia="fr-BE"/>
              </w:rPr>
              <w:t>Extending broadband deployment and the roll-out of high-speed networks and supporting the adoption of emerging technologies and networks for the digital economy</w:t>
            </w:r>
          </w:p>
        </w:tc>
        <w:tc>
          <w:tcPr>
            <w:shd w:val="clear" w:color="auto" w:fill="auto"/>
          </w:tcPr>
          <w:p>
            <w:pPr>
              <w:numPr>
                <w:ilvl w:val="0"/>
                <w:numId w:val="8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SNADR</w:t>
            </w:r>
          </w:p>
          <w:p>
            <w:pPr>
              <w:numPr>
                <w:ilvl w:val="0"/>
                <w:numId w:val="8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PNDINGN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urma concluziilor SNADR și PNDINGN reiese că situația din România este caracterizată prin:</w:t>
            </w:r>
          </w:p>
          <w:p>
            <w:pPr>
              <w:numPr>
                <w:ilvl w:val="0"/>
                <w:numId w:val="8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Rată scăzută a penetrării infrastructurii de mare viteză înregistrată la nivel național, comparativ cu alte state membre</w:t>
            </w:r>
          </w:p>
          <w:p>
            <w:pPr>
              <w:numPr>
                <w:ilvl w:val="0"/>
                <w:numId w:val="8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Diferența de acces la conexiunile în bandă largă între zonele urbane și rurale reprezintă un impediment major pentru dezvoltare echilibrată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Țintele asumate de România, până în 2020, (SNADR, PNDINGN):</w:t>
            </w:r>
          </w:p>
          <w:p>
            <w:pPr>
              <w:numPr>
                <w:ilvl w:val="0"/>
                <w:numId w:val="8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acoperirea de 100% cu infrastructură în bandă largă de mare viteză;</w:t>
            </w:r>
          </w:p>
          <w:p>
            <w:pPr>
              <w:numPr>
                <w:ilvl w:val="0"/>
                <w:numId w:val="8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acoperirea de 80% cu infrastructură în bandă largă cu viteze de peste 30 Mbps;</w:t>
            </w:r>
          </w:p>
          <w:p>
            <w:pPr>
              <w:numPr>
                <w:ilvl w:val="0"/>
                <w:numId w:val="8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acoperirea de 45% cu infrastructură în bandă largă cu viteze de peste 100 Mbps la punct fix.</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02 - </w:t>
            </w:r>
            <w:r w:rsidRPr="00A15CFE">
              <w:rPr>
                <w:noProof/>
                <w:color w:val="000000"/>
                <w:sz w:val="20"/>
                <w:szCs w:val="20"/>
                <w:lang w:eastAsia="fr-BE"/>
              </w:rPr>
              <w:t>Enhancing access to, and use and quality of, information and communication technologies</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2b - </w:t>
            </w:r>
            <w:r w:rsidRPr="00A15CFE">
              <w:rPr>
                <w:noProof/>
                <w:color w:val="000000"/>
                <w:sz w:val="20"/>
                <w:szCs w:val="20"/>
                <w:lang w:eastAsia="fr-BE"/>
              </w:rPr>
              <w:t>Developing ICT products and services, e-commerce and enhancing demand for ICT</w:t>
            </w:r>
          </w:p>
        </w:tc>
        <w:tc>
          <w:tcPr>
            <w:shd w:val="clear" w:color="auto" w:fill="auto"/>
          </w:tcPr>
          <w:p>
            <w:pPr>
              <w:numPr>
                <w:ilvl w:val="0"/>
                <w:numId w:val="8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SNADR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Pe baza concluziilor Strategiei Europa 2020, Agendei Digitale,  AP, SNC, situația din România este caracterizată prin:</w:t>
            </w:r>
          </w:p>
          <w:p>
            <w:pPr>
              <w:numPr>
                <w:ilvl w:val="0"/>
                <w:numId w:val="8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Nivel scăzut al integrării pe verticală a produselor și serviciilor TIC în lanțul valoric al altor sectoare industriale și de servicii</w:t>
            </w:r>
          </w:p>
          <w:p>
            <w:pPr>
              <w:numPr>
                <w:ilvl w:val="0"/>
                <w:numId w:val="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Slaba colaborare la nivel local/regional între mediul academic, de cercetare și industrial pentru dezvoltarea și promovarea de produse și servicii TIC</w:t>
            </w:r>
          </w:p>
          <w:p>
            <w:pPr>
              <w:numPr>
                <w:ilvl w:val="0"/>
                <w:numId w:val="8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Lipsa de stimulente și sprijin adecvat pentru antreprenoriat și inovare în TIC</w:t>
            </w:r>
          </w:p>
          <w:p>
            <w:pPr>
              <w:numPr>
                <w:ilvl w:val="0"/>
                <w:numId w:val="8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Procent scăzut al populației și IMM-urilor care utilizează internetul pentru a achiziționa online bunuri și servicii</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02 - </w:t>
            </w:r>
            <w:r w:rsidRPr="00A15CFE">
              <w:rPr>
                <w:noProof/>
                <w:color w:val="000000"/>
                <w:sz w:val="20"/>
                <w:szCs w:val="20"/>
                <w:lang w:eastAsia="fr-BE"/>
              </w:rPr>
              <w:t>Enhancing access to, and use and quality of, information and communication technologies</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2c - </w:t>
            </w:r>
            <w:r w:rsidRPr="00A15CFE">
              <w:rPr>
                <w:noProof/>
                <w:color w:val="000000"/>
                <w:sz w:val="20"/>
                <w:szCs w:val="20"/>
                <w:lang w:eastAsia="fr-BE"/>
              </w:rPr>
              <w:t>Strengthening ICT applications for e-government, e-learning, e-inclusion, e-culture and e-health</w:t>
            </w:r>
          </w:p>
        </w:tc>
        <w:tc>
          <w:tcPr>
            <w:shd w:val="clear" w:color="auto" w:fill="auto"/>
          </w:tcPr>
          <w:p>
            <w:pPr>
              <w:numPr>
                <w:ilvl w:val="0"/>
                <w:numId w:val="8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SNADR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Pe baza concluziilor Strategiei Europa 2020, SNADR, AP, SNC, situația din România este caracterizată prin:</w:t>
            </w:r>
          </w:p>
          <w:p>
            <w:pPr>
              <w:numPr>
                <w:ilvl w:val="0"/>
                <w:numId w:val="8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Lipsa de coordonare și măsuri insuficiente de securitate a datelor în sistemele informatice publice</w:t>
            </w:r>
          </w:p>
          <w:p>
            <w:pPr>
              <w:numPr>
                <w:ilvl w:val="0"/>
                <w:numId w:val="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Informatizarea insulară a instituțiilor publice, precum și numărul redus de servicii publice informatizate</w:t>
            </w:r>
          </w:p>
          <w:p>
            <w:pPr>
              <w:numPr>
                <w:ilvl w:val="0"/>
                <w:numId w:val="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Utilizarea scăzută a instrumentelor TIC pentru educație</w:t>
            </w:r>
          </w:p>
          <w:p>
            <w:pPr>
              <w:numPr>
                <w:ilvl w:val="0"/>
                <w:numId w:val="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Infrastructura TIC insuficientă sau depășită în școli</w:t>
            </w:r>
          </w:p>
          <w:p>
            <w:pPr>
              <w:numPr>
                <w:ilvl w:val="0"/>
                <w:numId w:val="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Punerea în valoare limitată a patrimoniului cultural și al bibliotecilor publice cu ajutorul TIC</w:t>
            </w:r>
          </w:p>
          <w:p>
            <w:pPr>
              <w:numPr>
                <w:ilvl w:val="0"/>
                <w:numId w:val="8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Nivel scăzut al interoperabilității aplicațiilor din domeniul sănătății</w:t>
            </w:r>
          </w:p>
          <w:p>
            <w:pPr>
              <w:numPr>
                <w:ilvl w:val="0"/>
                <w:numId w:val="8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Dezvoltarea insuficientă a telemedicinei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Țintele asumate până în 2020:</w:t>
            </w:r>
          </w:p>
          <w:p>
            <w:pPr>
              <w:numPr>
                <w:ilvl w:val="0"/>
                <w:numId w:val="8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creșterea ratei de utilizare a serviciilor e-guvernare la 35%</w:t>
            </w:r>
          </w:p>
          <w:p>
            <w:pPr>
              <w:numPr>
                <w:ilvl w:val="0"/>
                <w:numId w:val="8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creșterea procentului de cetățeni care returnează formularele online la 20%</w:t>
            </w:r>
          </w:p>
          <w:p>
            <w:pPr>
              <w:numPr>
                <w:ilvl w:val="0"/>
                <w:numId w:val="8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utilizarea cu regularitate a internetului de 60% din total cetățeni și de 45% dintre persoanele considerate dezavantajate</w:t>
            </w:r>
          </w:p>
          <w:p>
            <w:pPr>
              <w:numPr>
                <w:ilvl w:val="0"/>
                <w:numId w:val="8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contribuția la biblioteca digitală europeană cu un număr de 750 000 de articole.</w:t>
            </w:r>
          </w:p>
          <w:p w:rsidR="008D5009" w:rsidRPr="00DE5DD7" w:rsidP="00426349">
            <w:pPr>
              <w:spacing w:before="0" w:after="0"/>
              <w:rPr>
                <w:noProof/>
                <w:color w:val="000000"/>
                <w:sz w:val="20"/>
                <w:szCs w:val="20"/>
                <w:lang w:eastAsia="fr-BE"/>
              </w:rPr>
            </w:pPr>
          </w:p>
        </w:tc>
      </w:tr>
      <w:tr w:rsidTr="00426349">
        <w:tblPrEx>
          <w:tblW w:w="5000" w:type="pct"/>
          <w:tblLook w:val="04A0"/>
        </w:tblPrEx>
        <w:trPr>
          <w:trHeight w:val="288"/>
        </w:trPr>
        <w:tc>
          <w:tcPr>
            <w:shd w:val="clear" w:color="auto" w:fill="auto"/>
          </w:tcPr>
          <w:p w:rsidR="008D5009" w:rsidRPr="00A15CFE" w:rsidP="00426349">
            <w:pPr>
              <w:spacing w:before="0" w:after="0"/>
              <w:rPr>
                <w:noProof/>
                <w:color w:val="0070C0"/>
                <w:sz w:val="20"/>
                <w:szCs w:val="20"/>
                <w:lang w:eastAsia="fr-BE"/>
              </w:rPr>
            </w:pPr>
            <w:r w:rsidRPr="00A15CFE">
              <w:rPr>
                <w:noProof/>
                <w:color w:val="000000"/>
                <w:sz w:val="20"/>
                <w:szCs w:val="20"/>
                <w:lang w:eastAsia="fr-BE"/>
              </w:rPr>
              <w:t xml:space="preserve">03 - </w:t>
            </w:r>
            <w:r w:rsidRPr="00A15CFE">
              <w:rPr>
                <w:noProof/>
                <w:color w:val="000000"/>
                <w:sz w:val="20"/>
                <w:szCs w:val="20"/>
                <w:lang w:eastAsia="fr-BE"/>
              </w:rPr>
              <w:t>Enhancing the competitiveness of small and medium-sized enterprises, the agricultural sector (for the EAFRD) and the fisheries and aquaculture sector (for the EMFF)</w:t>
            </w:r>
          </w:p>
        </w:tc>
        <w:tc>
          <w:tcPr>
            <w:shd w:val="clear" w:color="auto" w:fill="auto"/>
          </w:tcPr>
          <w:p w:rsidR="008D5009" w:rsidRPr="00A15CFE" w:rsidP="00426349">
            <w:pPr>
              <w:spacing w:before="0" w:after="0"/>
              <w:rPr>
                <w:noProof/>
                <w:color w:val="000000"/>
                <w:sz w:val="20"/>
                <w:szCs w:val="20"/>
                <w:lang w:eastAsia="fr-BE"/>
              </w:rPr>
            </w:pPr>
            <w:r w:rsidRPr="00A15CFE">
              <w:rPr>
                <w:noProof/>
                <w:color w:val="000000"/>
                <w:sz w:val="20"/>
                <w:szCs w:val="20"/>
                <w:lang w:eastAsia="fr-BE"/>
              </w:rPr>
              <w:t xml:space="preserve">3d - </w:t>
            </w:r>
            <w:r w:rsidRPr="00A15CFE">
              <w:rPr>
                <w:noProof/>
                <w:color w:val="000000"/>
                <w:sz w:val="20"/>
                <w:szCs w:val="20"/>
                <w:lang w:eastAsia="fr-BE"/>
              </w:rPr>
              <w:t>Supporting the capacity of SMEs to grow in regional, national and international markets, and to engage in innovation processes</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Criza economică provocată de COVID 19 a afectat activitatea întreprinderilor și în special a întreprinderilor mici și mijlocii (IMM), acestea confruntându-se cu un deficit brusc de lichidități sau chiar cu indisponibilitatea lichidităților.</w:t>
            </w:r>
          </w:p>
          <w:p w:rsidR="008D5009" w:rsidRPr="00DE5DD7" w:rsidP="00426349">
            <w:pPr>
              <w:spacing w:before="0" w:after="0"/>
              <w:rPr>
                <w:noProof/>
                <w:color w:val="000000"/>
                <w:sz w:val="20"/>
                <w:szCs w:val="20"/>
                <w:lang w:eastAsia="fr-BE"/>
              </w:rPr>
            </w:pPr>
          </w:p>
        </w:tc>
      </w:tr>
    </w:tbl>
    <w:p w:rsidR="008D5009" w:rsidRPr="00DC028E" w:rsidP="008D5009">
      <w:pPr>
        <w:spacing w:before="0" w:after="0"/>
      </w:pPr>
    </w:p>
    <w:p w:rsidR="008D5009" w:rsidP="008D5009">
      <w:pPr>
        <w:pStyle w:val="Heading2"/>
        <w:keepLines/>
        <w:numPr>
          <w:ilvl w:val="0"/>
          <w:numId w:val="0"/>
        </w:numPr>
        <w:spacing w:before="0" w:after="0"/>
        <w:ind w:left="850" w:hanging="850"/>
        <w:rPr>
          <w:color w:val="000000"/>
          <w:szCs w:val="24"/>
          <w:lang w:eastAsia="fr-BE"/>
        </w:rPr>
      </w:pPr>
      <w:bookmarkStart w:id="3" w:name="_Toc256000002"/>
      <w:r w:rsidRPr="000F5CC0">
        <w:rPr>
          <w:noProof/>
          <w:color w:val="000000"/>
          <w:szCs w:val="24"/>
          <w:lang w:eastAsia="fr-BE"/>
        </w:rPr>
        <w:t>1.2 Justification for the financial allocation</w:t>
      </w:r>
      <w:bookmarkEnd w:id="3"/>
    </w:p>
    <w:p w:rsidR="008D5009" w:rsidRPr="00EC33F0" w:rsidP="008D5009">
      <w:pPr>
        <w:pStyle w:val="Text1"/>
        <w:spacing w:before="0" w:after="0"/>
        <w:ind w:left="0"/>
        <w:rPr>
          <w:lang w:eastAsia="fr-BE"/>
        </w:rPr>
      </w:pPr>
    </w:p>
    <w:p w:rsidR="008D5009" w:rsidP="008D5009">
      <w:pPr>
        <w:keepNext/>
        <w:keepLines/>
        <w:spacing w:before="0" w:after="0"/>
        <w:rPr>
          <w:color w:val="000000"/>
          <w:lang w:eastAsia="fr-BE"/>
        </w:rPr>
      </w:pPr>
      <w:r w:rsidRPr="000F5CC0">
        <w:rPr>
          <w:noProof/>
          <w:color w:val="000000"/>
          <w:lang w:eastAsia="fr-BE"/>
        </w:rPr>
        <w:t>Justification for the financial allocation (Union support) to each thematic objective and, where appropriate, investment priority, in accordance with the thematic concentration requirements, taking into account the ex-ante evaluation.</w:t>
      </w:r>
    </w:p>
    <w:p w:rsidR="008D5009" w:rsidRPr="000F5CC0" w:rsidP="008D5009">
      <w:pPr>
        <w:keepNext/>
        <w:keepLines/>
        <w:spacing w:before="0" w:after="0"/>
        <w:rPr>
          <w:color w:val="000000"/>
          <w:lang w:eastAsia="fr-BE"/>
        </w:rPr>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Pe parcursul perioadei de programare 2014 - 2020, POC va beneficia de o finanțare de 1.829 milioane de euro prin FEDR.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conformitate cu prevederile regulamentelor UE pentru perioada 2014 – 2020 regiunile de dezvoltare ale României sunt încadrate în două categorii: regiuni mai dezvoltate (Regiunea București Ilfov, ce include capitala București) și regiuni mai puțin dezvoltate (celelalte 7 regiuni de dezvoltare ale României, respectiv Nord-Est, Sud-Est, Sud Muntenia, Sud Vest Oltenia, Vest, Nord-Vest și Centru). Prin POC, regiunile mai dezvoltate vor beneficia de o contribuție totală din partea Uniunii de 249 milioane de euro, în timp ce regiunile mai puțin dezvoltate vor beneficia de o contribuție totală din partea Uniunii de 1,08 miliarde de euro.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Alocările între categoriile de regiuni au fost stabilite în funcție de natura acțiunilor din cadrul fiecărei axe prioritare.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Toate acțiunile finanțate prin POC acoperă întregul teritoriu national, cu excepția Acțiunii 2.1.1 care se implementează numai în regiunile mai puțin dezvoltate. În aplicarea articolului 70 din Reg.(UE) nr.1303/2013, pentru diferite tipuri de operațiuni va fi avută în vedere, după caz:</w:t>
      </w:r>
    </w:p>
    <w:p>
      <w:pPr>
        <w:numPr>
          <w:ilvl w:val="0"/>
          <w:numId w:val="5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distribuția populației între LDR/MDR,</w:t>
      </w:r>
    </w:p>
    <w:p>
      <w:pPr>
        <w:numPr>
          <w:ilvl w:val="0"/>
          <w:numId w:val="5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numărul de regiuni LDR/MDR,</w:t>
      </w:r>
    </w:p>
    <w:p>
      <w:pPr>
        <w:numPr>
          <w:ilvl w:val="0"/>
          <w:numId w:val="5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numărul de întreprinderi inovative în LDR/MDR.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Comitetul de Monitorizare al POC va analiza și aproba operațiunile sau tipurile de operațiuni în cauză.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Pentru îmbunătățirea infrastructurilor de CDI, în special a celor ce vor urma să fie utilizate în mod colaborativ, deschis, precum și încurajarea capacităților pentru a dezvolta excelența în materie de CDI la nivel European a fost alocat 63.98% (510,5 milioane de euro) din alocarea totală destinată axei prioritare 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Strategia POC 2014-2020 specifică măsuri de complementare și consolidare a demersurilor de CDI inițiate în cadrul POS CCE 2007-2013. Ținând cont că cele 28 de clustere și 8 poli de competitivitate, finanțate prin POS CCE 2007-2013, reprezintă tipuri de grupări economice care ar putea să apeleze la parteneriate cu instituții publice de cercetare, pentru a-și continua dezvoltarea pe componenta de transfer de cunoștințe și aplicabilitatea economică. Mai mult decât atât, pe piața sunt peste 40 de structuri existente de tip cluster, care sunt de asemenea potențiali parteneri ai infrastructurilor de CD publică. În cadrul Acțiunii 1.1.1., pentru proiectele de tip „investiții de CD în instituții publice” sunt alocate 130 mil. Euro, având în vedere că valoarea maximă pe proiect este de 20 mil. Euro, nr. minim de instituții care ar putea beneficia de o astfel de măsură de finanțare ar fi 6-7 instituții, iar la o valoare medie de 10-13 mil. Euro, ar putea fi susținute între 10-13 instituții publice beneficiare. Astfel se continuă finanțarea cererii existente, însă acest număr este mult prea mic față de nevoile existente. Au fost alocate în total 287,4 milioane de euro (36,01%) pentru promovarea cererii și investițiilor în CDI și dezvoltarea transferului de cunoștințe, personal şi tehnologii între cercetarea publică și sectorul privat.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Alocarea financiară pentru AP2 este de 531,9 milioane euro.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Necesitatea finanțării acțiunilor din cadrul acestei axe este fundamentată de obiectivele stabilite prin SNADR, în concordanţă cu cele ale SAD.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cadrul AP2, pentru consolidarea aplicațiilor TIC pentru e-guvernare, e-educație, e-cultură și e-sănătate este alocată suma de 377,9 milioane de euro (71.04%). Alocarea a fost estimată având în vedere și nevoile identificate prin alte strategii naționale, soluția aleasă fiind implementarea unor proiecte strategice de anvergură națională.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Dezvoltarea produselor și serviciilor TIC beneficiază de o alocare de 75 milioane euro (14,1%), pe fondul necesității de a stimula industria TIC și de a crește valoarea adăugată, dar și de a schimba modelul de business bazat exclusiv pe outsourcing.</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Alocarea destinată extinderii infrastructurii în bandă largă de mare viteză, precum și accesul la produse şi servicii pentru o economia digitală, este de 100 milioane de euro, (18,8% ) în scopul creșterii ratei de penetrare a infrastructurii în bandă largă de mare viteza. Pentru a reduce diferența privind accesul la conexiunile în bandă largă între zonele urbane și rurale, din analiza ANCOM a rezultat că este necesar ca investițiile să fie direcționate către acoperirea zonelor albe, pentru care operatorii nu au aratat interes investitional pentru urmatorii trei ani.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Pentru  întreprinderile care au fost afectate de criza COVID 19, s-a alocat în cadrul AP3 suma de 550 milioane euro.</w:t>
      </w:r>
    </w:p>
    <w:p w:rsidR="008D5009" w:rsidRPr="00636E55" w:rsidP="008D5009">
      <w:pPr>
        <w:spacing w:before="0" w:after="0"/>
        <w:rPr>
          <w:color w:val="000000"/>
          <w:sz w:val="16"/>
          <w:szCs w:val="16"/>
        </w:rPr>
      </w:pPr>
      <w:r>
        <w:rPr>
          <w:color w:val="000000"/>
          <w:sz w:val="16"/>
          <w:szCs w:val="16"/>
        </w:rPr>
        <w:t xml:space="preserve"> </w:t>
      </w:r>
    </w:p>
    <w:p w:rsidR="008D5009" w:rsidP="008D5009">
      <w:pPr>
        <w:spacing w:before="0" w:after="0"/>
        <w:rPr>
          <w:b/>
        </w:rPr>
        <w:sectPr w:rsidSect="00426349">
          <w:headerReference w:type="even" r:id="rId5"/>
          <w:headerReference w:type="default" r:id="rId6"/>
          <w:footerReference w:type="even" r:id="rId7"/>
          <w:footerReference w:type="default" r:id="rId8"/>
          <w:headerReference w:type="first" r:id="rId9"/>
          <w:footerReference w:type="first" r:id="rId10"/>
          <w:pgSz w:w="11906" w:h="16838"/>
          <w:pgMar w:top="1022" w:right="1699" w:bottom="1022" w:left="1584" w:header="283" w:footer="283" w:gutter="0"/>
          <w:cols w:space="708"/>
          <w:docGrid w:linePitch="360"/>
        </w:sectPr>
      </w:pPr>
    </w:p>
    <w:p w:rsidR="008D5009" w:rsidRPr="0072567D" w:rsidP="008D5009">
      <w:pPr>
        <w:keepNext/>
        <w:spacing w:before="0" w:after="0"/>
        <w:rPr>
          <w:b/>
          <w:lang w:val="pt-PT"/>
        </w:rPr>
      </w:pPr>
      <w:r w:rsidRPr="0072567D">
        <w:rPr>
          <w:b/>
          <w:noProof/>
          <w:lang w:val="pt-PT"/>
        </w:rPr>
        <w:t>Table 2: Overview of the investment strategy of the operational programme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8"/>
        <w:gridCol w:w="645"/>
        <w:gridCol w:w="1236"/>
        <w:gridCol w:w="1045"/>
        <w:gridCol w:w="9975"/>
        <w:gridCol w:w="10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794445" w:rsidP="00426349">
            <w:pPr>
              <w:spacing w:before="0" w:after="0"/>
              <w:jc w:val="center"/>
              <w:rPr>
                <w:rFonts w:eastAsia="Arial Unicode MS"/>
                <w:b/>
                <w:color w:val="000000"/>
                <w:sz w:val="16"/>
                <w:szCs w:val="16"/>
                <w:lang w:val="pt-PT"/>
              </w:rPr>
            </w:pPr>
            <w:r w:rsidRPr="000657B3">
              <w:rPr>
                <w:b/>
                <w:noProof/>
                <w:color w:val="000000"/>
                <w:sz w:val="16"/>
                <w:szCs w:val="16"/>
                <w:lang w:val="pt-PT"/>
              </w:rPr>
              <w:t>Priority axis</w:t>
            </w:r>
          </w:p>
        </w:tc>
        <w:tc>
          <w:tcPr>
            <w:shd w:val="clear" w:color="auto" w:fill="auto"/>
          </w:tcPr>
          <w:p w:rsidR="008D5009" w:rsidRPr="00A53E68" w:rsidP="00426349">
            <w:pPr>
              <w:tabs>
                <w:tab w:val="left" w:pos="426"/>
              </w:tabs>
              <w:spacing w:before="0" w:after="0"/>
              <w:jc w:val="center"/>
              <w:rPr>
                <w:rFonts w:eastAsia="Arial Unicode MS"/>
                <w:b/>
                <w:color w:val="000000"/>
                <w:sz w:val="16"/>
                <w:szCs w:val="16"/>
                <w:lang w:val="pt-PT"/>
              </w:rPr>
            </w:pPr>
            <w:r w:rsidRPr="000657B3">
              <w:rPr>
                <w:b/>
                <w:noProof/>
                <w:color w:val="000000"/>
                <w:sz w:val="16"/>
                <w:szCs w:val="16"/>
                <w:lang w:val="pt-PT"/>
              </w:rPr>
              <w:t>Fund</w:t>
            </w:r>
          </w:p>
        </w:tc>
        <w:tc>
          <w:tcPr>
            <w:shd w:val="clear" w:color="auto" w:fill="auto"/>
          </w:tcPr>
          <w:p w:rsidR="008D5009" w:rsidRPr="00A2412D" w:rsidP="00426349">
            <w:pPr>
              <w:tabs>
                <w:tab w:val="left" w:pos="426"/>
              </w:tabs>
              <w:spacing w:before="0" w:after="0"/>
              <w:jc w:val="center"/>
              <w:rPr>
                <w:rFonts w:eastAsia="Arial Unicode MS"/>
                <w:b/>
                <w:color w:val="000000"/>
                <w:sz w:val="16"/>
                <w:szCs w:val="16"/>
              </w:rPr>
            </w:pPr>
            <w:r>
              <w:rPr>
                <w:b/>
                <w:noProof/>
                <w:color w:val="000000"/>
                <w:sz w:val="16"/>
                <w:szCs w:val="16"/>
              </w:rPr>
              <w:t>Union support (€)</w:t>
            </w:r>
          </w:p>
        </w:tc>
        <w:tc>
          <w:tcPr>
            <w:shd w:val="clear" w:color="auto" w:fill="auto"/>
          </w:tcPr>
          <w:p w:rsidR="008D5009" w:rsidRPr="00A2412D" w:rsidP="00426349">
            <w:pPr>
              <w:tabs>
                <w:tab w:val="left" w:pos="426"/>
              </w:tabs>
              <w:spacing w:before="0" w:after="0"/>
              <w:jc w:val="center"/>
              <w:rPr>
                <w:rFonts w:eastAsia="Arial Unicode MS"/>
                <w:b/>
                <w:color w:val="000000"/>
                <w:sz w:val="16"/>
                <w:szCs w:val="16"/>
              </w:rPr>
            </w:pPr>
            <w:r>
              <w:rPr>
                <w:b/>
                <w:noProof/>
                <w:color w:val="000000"/>
                <w:sz w:val="16"/>
                <w:szCs w:val="16"/>
              </w:rPr>
              <w:t>Proportion of total Union support for the operational programme</w:t>
            </w:r>
          </w:p>
        </w:tc>
        <w:tc>
          <w:tcPr>
            <w:shd w:val="clear" w:color="auto" w:fill="auto"/>
          </w:tcPr>
          <w:p w:rsidR="008D5009" w:rsidRPr="00C23AD8" w:rsidP="00426349">
            <w:pPr>
              <w:tabs>
                <w:tab w:val="left" w:pos="426"/>
              </w:tabs>
              <w:spacing w:before="0" w:after="0"/>
              <w:jc w:val="center"/>
              <w:rPr>
                <w:rFonts w:eastAsia="Arial Unicode MS"/>
                <w:b/>
                <w:color w:val="000000"/>
                <w:sz w:val="16"/>
                <w:szCs w:val="16"/>
              </w:rPr>
            </w:pPr>
            <w:r>
              <w:rPr>
                <w:rFonts w:eastAsia="Arial Unicode MS"/>
                <w:b/>
                <w:noProof/>
                <w:color w:val="000000"/>
                <w:sz w:val="16"/>
                <w:szCs w:val="16"/>
              </w:rPr>
              <w:t>Thematic objective / Investment priority / Specific objective</w:t>
            </w:r>
          </w:p>
        </w:tc>
        <w:tc>
          <w:tcPr>
            <w:shd w:val="clear" w:color="auto" w:fill="auto"/>
          </w:tcPr>
          <w:p w:rsidR="008D5009" w:rsidRPr="00EF1975" w:rsidP="00426349">
            <w:pPr>
              <w:spacing w:before="0" w:after="0"/>
              <w:jc w:val="center"/>
              <w:rPr>
                <w:rFonts w:eastAsia="Arial Unicode MS"/>
                <w:b/>
                <w:color w:val="000000"/>
                <w:sz w:val="16"/>
                <w:szCs w:val="16"/>
                <w:lang w:val="da-DK"/>
              </w:rPr>
            </w:pPr>
            <w:r w:rsidR="00F2690E">
              <w:rPr>
                <w:b/>
                <w:noProof/>
                <w:color w:val="000000"/>
                <w:sz w:val="16"/>
                <w:szCs w:val="16"/>
              </w:rPr>
              <w:t>Common and programme specific indicators for which a target has been set</w:t>
            </w:r>
            <w:r w:rsidRPr="00EF1975">
              <w:rPr>
                <w:b/>
                <w:color w:val="000000"/>
                <w:sz w:val="16"/>
                <w:szCs w:val="16"/>
                <w:lang w:val="da-DK"/>
              </w:rPr>
              <w:t xml:space="preserve"> </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AP1</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780,421,147.00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42.65%</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01</w:t>
            </w:r>
            <w:r w:rsidRPr="00AD30F8">
              <w:rPr>
                <w:rFonts w:eastAsia="Arial Unicode MS"/>
                <w:color w:val="000000"/>
                <w:sz w:val="16"/>
                <w:szCs w:val="16"/>
              </w:rPr>
              <w:t xml:space="preserve"> - </w:t>
            </w:r>
            <w:r>
              <w:rPr>
                <w:rFonts w:eastAsia="Arial Unicode MS"/>
                <w:noProof/>
                <w:color w:val="000000"/>
                <w:sz w:val="16"/>
                <w:szCs w:val="16"/>
              </w:rPr>
              <w:t>Strengthening research, technological development and innovation</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1a</w:t>
            </w:r>
            <w:r w:rsidRPr="007F39D0">
              <w:rPr>
                <w:rFonts w:eastAsia="Arial Unicode MS"/>
                <w:color w:val="000000"/>
                <w:sz w:val="16"/>
                <w:szCs w:val="16"/>
              </w:rPr>
              <w:t xml:space="preserve"> - </w:t>
            </w:r>
            <w:r>
              <w:rPr>
                <w:rFonts w:eastAsia="Arial Unicode MS"/>
                <w:noProof/>
                <w:color w:val="000000"/>
                <w:sz w:val="16"/>
                <w:szCs w:val="16"/>
              </w:rPr>
              <w:t>Enhancing research and innovation (R&amp;I) infrastructure and capacities to develop R&amp;I excellence, and promoting centres of competence, in particular those of European interest</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OS1.1</w:t>
            </w:r>
            <w:r w:rsidRPr="007F39D0">
              <w:rPr>
                <w:rFonts w:eastAsia="Arial Unicode MS"/>
                <w:color w:val="000000"/>
                <w:sz w:val="16"/>
                <w:szCs w:val="16"/>
              </w:rPr>
              <w:t xml:space="preserve"> - </w:t>
            </w:r>
            <w:r w:rsidRPr="007F39D0">
              <w:rPr>
                <w:rFonts w:eastAsia="Arial Unicode MS"/>
                <w:noProof/>
                <w:color w:val="000000"/>
                <w:sz w:val="16"/>
                <w:szCs w:val="16"/>
              </w:rPr>
              <w:t>Creșterea capacității de CDI în domeniile de specializare inteligentă și în sănătate</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OS1.2</w:t>
            </w:r>
            <w:r w:rsidRPr="007F39D0">
              <w:rPr>
                <w:rFonts w:eastAsia="Arial Unicode MS"/>
                <w:color w:val="000000"/>
                <w:sz w:val="16"/>
                <w:szCs w:val="16"/>
              </w:rPr>
              <w:t xml:space="preserve"> - </w:t>
            </w:r>
            <w:r w:rsidRPr="007F39D0">
              <w:rPr>
                <w:rFonts w:eastAsia="Arial Unicode MS"/>
                <w:noProof/>
                <w:color w:val="000000"/>
                <w:sz w:val="16"/>
                <w:szCs w:val="16"/>
              </w:rPr>
              <w:t>Creşterea participării româneşti în cercetarea la nivelul UE</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1b</w:t>
            </w:r>
            <w:r w:rsidRPr="007F39D0">
              <w:rPr>
                <w:rFonts w:eastAsia="Arial Unicode MS"/>
                <w:color w:val="000000"/>
                <w:sz w:val="16"/>
                <w:szCs w:val="16"/>
              </w:rPr>
              <w:t xml:space="preserve"> - </w:t>
            </w:r>
            <w:r>
              <w:rPr>
                <w:rFonts w:eastAsia="Arial Unicode MS"/>
                <w:noProof/>
                <w:color w:val="000000"/>
                <w:sz w:val="16"/>
                <w:szCs w:val="16"/>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OS1.3</w:t>
            </w:r>
            <w:r w:rsidRPr="007F39D0">
              <w:rPr>
                <w:rFonts w:eastAsia="Arial Unicode MS"/>
                <w:color w:val="000000"/>
                <w:sz w:val="16"/>
                <w:szCs w:val="16"/>
              </w:rPr>
              <w:t xml:space="preserve"> - </w:t>
            </w:r>
            <w:r w:rsidRPr="007F39D0">
              <w:rPr>
                <w:rFonts w:eastAsia="Arial Unicode MS"/>
                <w:noProof/>
                <w:color w:val="000000"/>
                <w:sz w:val="16"/>
                <w:szCs w:val="16"/>
              </w:rPr>
              <w:t>Creșterea investiţiilor private în CDI</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OS1.4</w:t>
            </w:r>
            <w:r w:rsidRPr="007F39D0">
              <w:rPr>
                <w:rFonts w:eastAsia="Arial Unicode MS"/>
                <w:color w:val="000000"/>
                <w:sz w:val="16"/>
                <w:szCs w:val="16"/>
              </w:rPr>
              <w:t xml:space="preserve"> - </w:t>
            </w:r>
            <w:r w:rsidRPr="007F39D0">
              <w:rPr>
                <w:rFonts w:eastAsia="Arial Unicode MS"/>
                <w:noProof/>
                <w:color w:val="000000"/>
                <w:sz w:val="16"/>
                <w:szCs w:val="16"/>
              </w:rPr>
              <w:t>Creșterea transferului de cunoștințe, tehnologie și personal cu competențe CDI între mediul public de cercetare și cel privat</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[3S1, 3S2, 3S3, 3S4]</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AP2</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499,366,087.00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27.29%</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02</w:t>
            </w:r>
            <w:r w:rsidRPr="00AD30F8">
              <w:rPr>
                <w:rFonts w:eastAsia="Arial Unicode MS"/>
                <w:color w:val="000000"/>
                <w:sz w:val="16"/>
                <w:szCs w:val="16"/>
              </w:rPr>
              <w:t xml:space="preserve"> - </w:t>
            </w:r>
            <w:r>
              <w:rPr>
                <w:rFonts w:eastAsia="Arial Unicode MS"/>
                <w:noProof/>
                <w:color w:val="000000"/>
                <w:sz w:val="16"/>
                <w:szCs w:val="16"/>
              </w:rPr>
              <w:t>Enhancing access to, and use and quality of, information and communication technologies</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2a</w:t>
            </w:r>
            <w:r w:rsidRPr="007F39D0">
              <w:rPr>
                <w:rFonts w:eastAsia="Arial Unicode MS"/>
                <w:color w:val="000000"/>
                <w:sz w:val="16"/>
                <w:szCs w:val="16"/>
              </w:rPr>
              <w:t xml:space="preserve"> - </w:t>
            </w:r>
            <w:r>
              <w:rPr>
                <w:rFonts w:eastAsia="Arial Unicode MS"/>
                <w:noProof/>
                <w:color w:val="000000"/>
                <w:sz w:val="16"/>
                <w:szCs w:val="16"/>
              </w:rPr>
              <w:t>Extending broadband deployment and the roll-out of high-speed networks and supporting the adoption of emerging technologies and networks for the digital economy</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OS2.1</w:t>
            </w:r>
            <w:r w:rsidRPr="007F39D0">
              <w:rPr>
                <w:rFonts w:eastAsia="Arial Unicode MS"/>
                <w:color w:val="000000"/>
                <w:sz w:val="16"/>
                <w:szCs w:val="16"/>
              </w:rPr>
              <w:t xml:space="preserve"> - </w:t>
            </w:r>
            <w:r w:rsidRPr="007F39D0">
              <w:rPr>
                <w:rFonts w:eastAsia="Arial Unicode MS"/>
                <w:noProof/>
                <w:color w:val="000000"/>
                <w:sz w:val="16"/>
                <w:szCs w:val="16"/>
              </w:rPr>
              <w:t>Extinderea și dezvoltarea infrastructurii de comunicații în bandă largă de mare viteză</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2b</w:t>
            </w:r>
            <w:r w:rsidRPr="007F39D0">
              <w:rPr>
                <w:rFonts w:eastAsia="Arial Unicode MS"/>
                <w:color w:val="000000"/>
                <w:sz w:val="16"/>
                <w:szCs w:val="16"/>
              </w:rPr>
              <w:t xml:space="preserve"> - </w:t>
            </w:r>
            <w:r>
              <w:rPr>
                <w:rFonts w:eastAsia="Arial Unicode MS"/>
                <w:noProof/>
                <w:color w:val="000000"/>
                <w:sz w:val="16"/>
                <w:szCs w:val="16"/>
              </w:rPr>
              <w:t>Developing ICT products and services, e-commerce and enhancing demand for ICT</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OS2.2</w:t>
            </w:r>
            <w:r w:rsidRPr="007F39D0">
              <w:rPr>
                <w:rFonts w:eastAsia="Arial Unicode MS"/>
                <w:color w:val="000000"/>
                <w:sz w:val="16"/>
                <w:szCs w:val="16"/>
              </w:rPr>
              <w:t xml:space="preserve"> - </w:t>
            </w:r>
            <w:r w:rsidRPr="007F39D0">
              <w:rPr>
                <w:rFonts w:eastAsia="Arial Unicode MS"/>
                <w:noProof/>
                <w:color w:val="000000"/>
                <w:sz w:val="16"/>
                <w:szCs w:val="16"/>
              </w:rPr>
              <w:t>Creșterea contribuției sectorului TIC pentru competitivitatea economică</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OS2.5</w:t>
            </w:r>
            <w:r w:rsidRPr="007F39D0">
              <w:rPr>
                <w:rFonts w:eastAsia="Arial Unicode MS"/>
                <w:color w:val="000000"/>
                <w:sz w:val="16"/>
                <w:szCs w:val="16"/>
              </w:rPr>
              <w:t xml:space="preserve"> - </w:t>
            </w:r>
            <w:r w:rsidRPr="007F39D0">
              <w:rPr>
                <w:rFonts w:eastAsia="Arial Unicode MS"/>
                <w:noProof/>
                <w:color w:val="000000"/>
                <w:sz w:val="16"/>
                <w:szCs w:val="16"/>
              </w:rPr>
              <w:t>Atingerea de către IMM-uri a unui grad înalt de digitalizare</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2c</w:t>
            </w:r>
            <w:r w:rsidRPr="007F39D0">
              <w:rPr>
                <w:rFonts w:eastAsia="Arial Unicode MS"/>
                <w:color w:val="000000"/>
                <w:sz w:val="16"/>
                <w:szCs w:val="16"/>
              </w:rPr>
              <w:t xml:space="preserve"> - </w:t>
            </w:r>
            <w:r>
              <w:rPr>
                <w:rFonts w:eastAsia="Arial Unicode MS"/>
                <w:noProof/>
                <w:color w:val="000000"/>
                <w:sz w:val="16"/>
                <w:szCs w:val="16"/>
              </w:rPr>
              <w:t>Strengthening ICT applications for e-government, e-learning, e-inclusion, e-culture and e-health</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OS2.3</w:t>
            </w:r>
            <w:r w:rsidRPr="007F39D0">
              <w:rPr>
                <w:rFonts w:eastAsia="Arial Unicode MS"/>
                <w:color w:val="000000"/>
                <w:sz w:val="16"/>
                <w:szCs w:val="16"/>
              </w:rPr>
              <w:t xml:space="preserve"> - </w:t>
            </w:r>
            <w:r w:rsidRPr="007F39D0">
              <w:rPr>
                <w:rFonts w:eastAsia="Arial Unicode MS"/>
                <w:noProof/>
                <w:color w:val="000000"/>
                <w:sz w:val="16"/>
                <w:szCs w:val="16"/>
              </w:rPr>
              <w:t>Creșterea utilizării sistemelor de e-guvernare</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OS2.4</w:t>
            </w:r>
            <w:r w:rsidRPr="007F39D0">
              <w:rPr>
                <w:rFonts w:eastAsia="Arial Unicode MS"/>
                <w:color w:val="000000"/>
                <w:sz w:val="16"/>
                <w:szCs w:val="16"/>
              </w:rPr>
              <w:t xml:space="preserve"> - </w:t>
            </w:r>
            <w:r w:rsidRPr="007F39D0">
              <w:rPr>
                <w:rFonts w:eastAsia="Arial Unicode MS"/>
                <w:noProof/>
                <w:color w:val="000000"/>
                <w:sz w:val="16"/>
                <w:szCs w:val="16"/>
              </w:rPr>
              <w:t>Creșterea gradului de utilizare a Internetului</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[1S4, 3S13, 3S14, 3S8, 3S9]</w:t>
            </w:r>
          </w:p>
        </w:tc>
      </w:tr>
      <w:tr w:rsidTr="00426349">
        <w:tblPrEx>
          <w:tblW w:w="5000" w:type="pct"/>
          <w:tblLook w:val="04A0"/>
        </w:tblPrEx>
        <w:tc>
          <w:tcPr>
            <w:shd w:val="clear" w:color="auto" w:fill="auto"/>
          </w:tcPr>
          <w:p w:rsidR="008D5009" w:rsidRPr="00636710" w:rsidP="00426349">
            <w:pPr>
              <w:spacing w:before="0" w:after="0"/>
              <w:rPr>
                <w:sz w:val="16"/>
                <w:szCs w:val="16"/>
              </w:rPr>
            </w:pPr>
            <w:r w:rsidRPr="00440487">
              <w:rPr>
                <w:noProof/>
                <w:sz w:val="16"/>
                <w:szCs w:val="16"/>
              </w:rPr>
              <w:t>AP3</w:t>
            </w:r>
          </w:p>
        </w:tc>
        <w:tc>
          <w:tcPr>
            <w:shd w:val="clear" w:color="auto" w:fill="auto"/>
          </w:tcPr>
          <w:p w:rsidR="008D5009" w:rsidRPr="00C23AD8" w:rsidP="00426349">
            <w:pPr>
              <w:tabs>
                <w:tab w:val="left" w:pos="426"/>
              </w:tabs>
              <w:spacing w:before="0" w:after="0"/>
              <w:rPr>
                <w:rFonts w:eastAsia="Arial Unicode MS"/>
                <w:color w:val="000000"/>
                <w:sz w:val="16"/>
                <w:szCs w:val="16"/>
              </w:rPr>
            </w:pPr>
            <w:r>
              <w:rPr>
                <w:rFonts w:eastAsia="Arial Unicode MS"/>
                <w:noProof/>
                <w:color w:val="000000"/>
                <w:sz w:val="16"/>
                <w:szCs w:val="16"/>
              </w:rPr>
              <w:t>ERDF</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550,000,000.00</w:t>
            </w:r>
          </w:p>
        </w:tc>
        <w:tc>
          <w:tcPr>
            <w:shd w:val="clear" w:color="auto" w:fill="auto"/>
          </w:tcPr>
          <w:p w:rsidR="008D5009" w:rsidRPr="00C23AD8" w:rsidP="00426349">
            <w:pPr>
              <w:tabs>
                <w:tab w:val="left" w:pos="426"/>
              </w:tabs>
              <w:spacing w:before="0" w:after="0"/>
              <w:jc w:val="right"/>
              <w:rPr>
                <w:rFonts w:eastAsia="Arial Unicode MS"/>
                <w:color w:val="000000"/>
                <w:sz w:val="16"/>
                <w:szCs w:val="16"/>
              </w:rPr>
            </w:pPr>
            <w:r>
              <w:rPr>
                <w:rFonts w:eastAsia="Arial Unicode MS"/>
                <w:noProof/>
                <w:color w:val="000000"/>
                <w:sz w:val="16"/>
                <w:szCs w:val="16"/>
              </w:rPr>
              <w:t>30.06%</w:t>
            </w:r>
          </w:p>
        </w:tc>
        <w:tc>
          <w:tcPr>
            <w:shd w:val="clear" w:color="auto" w:fill="auto"/>
          </w:tcPr>
          <w:p w:rsidR="008D5009" w:rsidP="00426349">
            <w:pPr>
              <w:tabs>
                <w:tab w:val="left" w:pos="426"/>
              </w:tabs>
              <w:spacing w:before="0" w:after="0"/>
              <w:rPr>
                <w:rFonts w:eastAsia="Arial Unicode MS"/>
                <w:color w:val="000000"/>
                <w:sz w:val="16"/>
                <w:szCs w:val="16"/>
              </w:rPr>
            </w:pPr>
            <w:r w:rsidRPr="00AD30F8">
              <w:rPr>
                <w:rFonts w:ascii="Webdings" w:hAnsi="Webdings" w:cs="Webdings"/>
                <w:sz w:val="16"/>
                <w:szCs w:val="16"/>
                <w:lang w:eastAsia="en-GB"/>
              </w:rPr>
              <w:sym w:font="Webdings" w:char="F036"/>
            </w:r>
            <w:r w:rsidRPr="00AD30F8">
              <w:rPr>
                <w:rFonts w:eastAsia="Arial Unicode MS"/>
                <w:noProof/>
                <w:color w:val="000000"/>
                <w:sz w:val="16"/>
                <w:szCs w:val="16"/>
              </w:rPr>
              <w:t>03</w:t>
            </w:r>
            <w:r w:rsidRPr="00AD30F8">
              <w:rPr>
                <w:rFonts w:eastAsia="Arial Unicode MS"/>
                <w:color w:val="000000"/>
                <w:sz w:val="16"/>
                <w:szCs w:val="16"/>
              </w:rPr>
              <w:t xml:space="preserve"> - </w:t>
            </w:r>
            <w:r>
              <w:rPr>
                <w:rFonts w:eastAsia="Arial Unicode MS"/>
                <w:noProof/>
                <w:color w:val="000000"/>
                <w:sz w:val="16"/>
                <w:szCs w:val="16"/>
              </w:rPr>
              <w:t>Enhancing the competitiveness of small and medium-sized enterprises, the agricultural sector (for the EAFRD) and the fisheries and aquaculture sector (for the EMFF)</w:t>
            </w:r>
          </w:p>
          <w:p w:rsidR="008D5009" w:rsidRPr="007F39D0" w:rsidP="00426349">
            <w:pPr>
              <w:tabs>
                <w:tab w:val="left" w:pos="205"/>
              </w:tabs>
              <w:spacing w:before="0" w:after="0"/>
              <w:ind w:left="299" w:hanging="142"/>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3d</w:t>
            </w:r>
            <w:r w:rsidRPr="007F39D0">
              <w:rPr>
                <w:rFonts w:eastAsia="Arial Unicode MS"/>
                <w:color w:val="000000"/>
                <w:sz w:val="16"/>
                <w:szCs w:val="16"/>
              </w:rPr>
              <w:t xml:space="preserve"> - </w:t>
            </w:r>
            <w:r>
              <w:rPr>
                <w:rFonts w:eastAsia="Arial Unicode MS"/>
                <w:noProof/>
                <w:color w:val="000000"/>
                <w:sz w:val="16"/>
                <w:szCs w:val="16"/>
              </w:rPr>
              <w:t>Supporting the capacity of SMEs to grow in regional, national and international markets, and to engage in innovation processes</w:t>
            </w:r>
          </w:p>
          <w:p w:rsidR="008D5009" w:rsidRPr="007F39D0" w:rsidP="00426349">
            <w:pPr>
              <w:tabs>
                <w:tab w:val="left" w:pos="313"/>
              </w:tabs>
              <w:spacing w:before="0" w:after="0"/>
              <w:ind w:left="347"/>
              <w:rPr>
                <w:rFonts w:eastAsia="Arial Unicode MS"/>
                <w:color w:val="000000"/>
                <w:sz w:val="16"/>
                <w:szCs w:val="16"/>
              </w:rPr>
            </w:pPr>
            <w:r w:rsidRPr="00AD30F8">
              <w:rPr>
                <w:rFonts w:ascii="Webdings" w:hAnsi="Webdings" w:cs="Webdings"/>
                <w:sz w:val="16"/>
                <w:szCs w:val="16"/>
                <w:lang w:eastAsia="en-GB"/>
              </w:rPr>
              <w:sym w:font="Webdings" w:char="F036"/>
            </w:r>
            <w:r w:rsidRPr="007F39D0">
              <w:rPr>
                <w:rFonts w:eastAsia="Arial Unicode MS"/>
                <w:noProof/>
                <w:color w:val="000000"/>
                <w:sz w:val="16"/>
                <w:szCs w:val="16"/>
              </w:rPr>
              <w:t>OS3.1</w:t>
            </w:r>
            <w:r w:rsidRPr="007F39D0">
              <w:rPr>
                <w:rFonts w:eastAsia="Arial Unicode MS"/>
                <w:color w:val="000000"/>
                <w:sz w:val="16"/>
                <w:szCs w:val="16"/>
              </w:rPr>
              <w:t xml:space="preserve"> - </w:t>
            </w:r>
            <w:r w:rsidRPr="007F39D0">
              <w:rPr>
                <w:rFonts w:eastAsia="Arial Unicode MS"/>
                <w:noProof/>
                <w:color w:val="000000"/>
                <w:sz w:val="16"/>
                <w:szCs w:val="16"/>
              </w:rPr>
              <w:t>Consolidarea poziției pe piață a IMM-urilor afectate de pandemia COVID-19</w:t>
            </w:r>
          </w:p>
        </w:tc>
        <w:tc>
          <w:tcPr>
            <w:shd w:val="clear" w:color="auto" w:fill="auto"/>
          </w:tcPr>
          <w:p w:rsidR="008D5009" w:rsidRPr="001A2013" w:rsidP="00426349">
            <w:pPr>
              <w:spacing w:before="0" w:after="0"/>
              <w:rPr>
                <w:rFonts w:eastAsia="Arial Unicode MS"/>
                <w:b/>
                <w:color w:val="000000"/>
                <w:sz w:val="16"/>
                <w:szCs w:val="16"/>
                <w:lang w:val="fr-BE"/>
              </w:rPr>
            </w:pPr>
            <w:r>
              <w:rPr>
                <w:noProof/>
                <w:sz w:val="16"/>
                <w:szCs w:val="16"/>
              </w:rPr>
              <w:t>[1S3]</w:t>
            </w:r>
          </w:p>
        </w:tc>
      </w:tr>
    </w:tbl>
    <w:p w:rsidR="008D5009" w:rsidRPr="001A2013" w:rsidP="008D5009">
      <w:pPr>
        <w:spacing w:before="0" w:after="0"/>
        <w:rPr>
          <w:lang w:val="fr-BE"/>
        </w:rPr>
        <w:sectPr w:rsidSect="00426349">
          <w:headerReference w:type="default" r:id="rId11"/>
          <w:footerReference w:type="default" r:id="rId12"/>
          <w:headerReference w:type="first" r:id="rId13"/>
          <w:footerReference w:type="first" r:id="rId14"/>
          <w:pgSz w:w="16838" w:h="11906" w:orient="landscape"/>
          <w:pgMar w:top="1584" w:right="1022" w:bottom="1699" w:left="1022" w:header="283" w:footer="283" w:gutter="0"/>
          <w:cols w:space="708"/>
          <w:docGrid w:linePitch="360"/>
        </w:sectPr>
      </w:pPr>
    </w:p>
    <w:p w:rsidR="008D5009" w:rsidRPr="00F51FE9" w:rsidP="008D5009">
      <w:pPr>
        <w:pStyle w:val="Heading1"/>
        <w:numPr>
          <w:ilvl w:val="0"/>
          <w:numId w:val="0"/>
        </w:numPr>
        <w:spacing w:before="0" w:after="0"/>
        <w:ind w:left="850" w:hanging="850"/>
        <w:rPr>
          <w:lang w:val="fr-BE"/>
        </w:rPr>
      </w:pPr>
      <w:bookmarkStart w:id="16" w:name="_Toc256000003"/>
      <w:r w:rsidRPr="00F51FE9">
        <w:rPr>
          <w:noProof/>
          <w:lang w:val="fr-BE"/>
        </w:rPr>
        <w:t>2. PRIORITY AXES</w:t>
      </w:r>
      <w:bookmarkEnd w:id="16"/>
    </w:p>
    <w:p w:rsidR="008D5009" w:rsidRPr="009F202D" w:rsidP="008D5009">
      <w:pPr>
        <w:pStyle w:val="ManualHeading1"/>
        <w:spacing w:before="0" w:after="0"/>
        <w:rPr>
          <w:lang w:val="fr-BE"/>
        </w:rPr>
      </w:pPr>
      <w:bookmarkStart w:id="17" w:name="_Toc256000004"/>
      <w:r w:rsidRPr="009F202D">
        <w:rPr>
          <w:noProof/>
          <w:color w:val="000000"/>
          <w:lang w:val="fr-BE"/>
        </w:rPr>
        <w:t>2.A Description of the priority axes other than technical assistance</w:t>
      </w:r>
      <w:bookmarkEnd w:id="17"/>
    </w:p>
    <w:p w:rsidR="008D5009" w:rsidRPr="009F202D" w:rsidP="008D5009">
      <w:pPr>
        <w:pStyle w:val="Text1"/>
        <w:spacing w:before="0" w:after="0"/>
        <w:ind w:left="0"/>
        <w:rPr>
          <w:b/>
          <w:color w:val="000000"/>
          <w:sz w:val="20"/>
          <w:szCs w:val="20"/>
          <w:lang w:val="fr-BE"/>
        </w:rPr>
      </w:pPr>
    </w:p>
    <w:p w:rsidR="008D5009" w:rsidRPr="009F202D" w:rsidP="008D5009">
      <w:pPr>
        <w:pStyle w:val="ManualHeading2"/>
        <w:spacing w:before="0" w:after="0"/>
        <w:rPr>
          <w:lang w:val="fr-BE"/>
        </w:rPr>
      </w:pPr>
      <w:bookmarkStart w:id="18" w:name="_Toc256000005"/>
      <w:r w:rsidRPr="009F202D">
        <w:rPr>
          <w:noProof/>
          <w:lang w:val="fr-BE"/>
        </w:rPr>
        <w:t>2.A.1 Priority axis</w:t>
      </w:r>
      <w:bookmarkEnd w:id="1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19"/>
        <w:gridCol w:w="1185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 of the priority axis</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AP1</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Title of the priority axis</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Cercetare, dezvoltare tehnologica si inovare (CDI) in sprijinul competitivitatii economice si dezvoltarii afacerilor</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The entire priority axis will be implemented solely through financial instruments</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The entire priority axis will be implemented solely through financial instruments set up at Union level</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The entire priority axis will be implemented through community-led local development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ESF: The entire priority axis is dedicated to social innovation or to transnational cooperation, or both</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19" w:name="_Toc256000007"/>
      <w:r>
        <w:rPr>
          <w:noProof/>
          <w:color w:val="000000"/>
        </w:rPr>
        <w:t>2.A.2 Justification for the establishment of a priority axis covering more than one category of region, thematic objective or fund</w:t>
      </w:r>
      <w:bookmarkStart w:id="20" w:name="_Toc512434559"/>
      <w:bookmarkStart w:id="21" w:name="_Toc25666829"/>
      <w:bookmarkStart w:id="22" w:name="_Toc27646436"/>
      <w:bookmarkStart w:id="23" w:name="_Toc256000006"/>
      <w:r>
        <w:rPr>
          <w:b w:val="0"/>
          <w:color w:val="000000"/>
        </w:rPr>
        <w:t xml:space="preserve"> </w:t>
      </w:r>
      <w:r>
        <w:rPr>
          <w:b w:val="0"/>
          <w:noProof/>
          <w:color w:val="000000"/>
        </w:rPr>
        <w:t>(where applicable)</w:t>
      </w:r>
      <w:bookmarkEnd w:id="19"/>
      <w:bookmarkEnd w:id="23"/>
      <w:bookmarkEnd w:id="20"/>
      <w:bookmarkEnd w:id="21"/>
      <w:bookmarkEnd w:id="22"/>
    </w:p>
    <w:p>
      <w:pPr>
        <w:spacing w:before="0" w:after="240"/>
        <w:jc w:val="left"/>
        <w:rPr>
          <w:rFonts w:ascii="Times New Roman" w:eastAsia="Times New Roman" w:hAnsi="Times New Roman" w:cs="Times New Roman"/>
        </w:rPr>
      </w:pPr>
      <w:r>
        <w:rPr>
          <w:rFonts w:ascii="Times New Roman" w:eastAsia="Times New Roman" w:hAnsi="Times New Roman" w:cs="Times New Roman"/>
        </w:rPr>
        <w:t>Şapte dintre cele opt regiuni de dezvoltare ale României înregistrează un PIB mediu/cap de locuitor mai mic de 75% din media UE 27, intrând astfel în categoria regiunilor mai puţin dezvoltate, a opta regiune București-Ilfov fiind deja parte a regiunilor dezvoltate.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Din punct de vedere al competitivităţii, România se clasa, în anul 2012, pe poziţia 26 din 27 de state membre, iar la nivel regional, cu excepţia regiunii București-Ilfov, cele 7 regiuni de dezvoltare sunt între ultimele 20 de locuri ca nivel de dezvoltare în rândul regiunilor din cadrul Statelor Membre ale Uniunii Europene (The Europe 2020 Competitiveness Report: Building a More Competitive Europe 2012).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70 % din totalul locurilor de muncă din industrie (1,2 milioane) se regăsesc în sectoarele industriale mai puțin competitive. Situaţia este una generală, la nivelul întregului teritoriu.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Avantajele competitive înregistrate de România în anumite sectoare de activitate sunt determinate preponderent de nivelurile salariale ale forţei de muncă utilizate, însă există un potenţial ridicat de translatare spre competitivitatea bazată pe cunoaştere, respectiv pe rezultatele activităţilor de cercetare, dezvoltare, inovare. Domeniile propuse pentru sprijin, au o distribuţie teritorială la nivel naţional, cu acoperire în toate regiunile de dezvoltare. Spre exemplu, la nivel naţional există centre universitare recunoscute în domeniile medicale sau tehnice în Regiunea Nord-Vest (Cluj-Napoca), Regiunea Nord-Est (Iaşi), Bucureşti-Ilfov (Bucureşti, Măgurele), Regiunea Vest (Timişoara), Regiunea Centru (Brașov), Regiunea Sud-Vest (Craiova), Regiunea Sud-Est (Constanța).Similar, distribuția institutelor publice de cercetare, deși concentrate mai puternic în București, acoperă toate regiunile de dezvoltare. Pe de altă parte, parteneriatele în CD (între instituțiile de cercetare și beneficiari întreprinderi) se fac la nivel național, nu în regim regional.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Mai mult decât atât, având în vedere caracterul acțiunilor ce urmează a fi finanțate prin POC, includerea regiunii București – Ilfov, care concentrează marea masă a activității de CDI, este de natură să permită realizarea de parteneriate cu instituții din țară, impulsionând astfel activitatea de cercetare în ansamblu.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Având în vedere diferențele majore între București-Ilfov și celelalte regiuni în ceea ce privește prezenta și activitatea actorilor de CDI, masa critică minimă pentru o implementare eficientă a fondurilor pentru 2014-2020 nu se poate forma în absenșa implicării regiunii BI.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acest sens, suportul financiar disponibil prin POC trebuie să includă toate regiunile de dezvoltare din România, în vederea asigurării unei dezvoltări echilibrate la nivel naţional şi stimulării competiţiei în domeniul CDI.</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24" w:name="_Toc256000008"/>
      <w:r>
        <w:rPr>
          <w:noProof/>
        </w:rPr>
        <w:t>2.A.3 Fund, category of region and calculation basis for Union support</w:t>
      </w:r>
      <w:bookmarkEnd w:id="24"/>
    </w:p>
    <w:tbl>
      <w:tblPr>
        <w:tblStyle w:val="TableNormal"/>
        <w:tblW w:w="5000" w:type="pct"/>
        <w:tblLook w:val="04A0"/>
      </w:tblPr>
      <w:tblGrid>
        <w:gridCol w:w="696"/>
        <w:gridCol w:w="1508"/>
        <w:gridCol w:w="5334"/>
        <w:gridCol w:w="7255"/>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Fund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Category of region</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Calculation basis (total eligible expenditure or eligible public expenditure)</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Category of region for outermost regions and northern sparsely populated  regions (where applicable)</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Less developed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Pr="007C1D98" w:rsidR="005944B6">
              <w:rPr>
                <w:noProof/>
                <w:sz w:val="18"/>
                <w:szCs w:val="18"/>
              </w:rPr>
              <w:t>Public</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More developed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Pr="007C1D98" w:rsidR="005944B6">
              <w:rPr>
                <w:noProof/>
                <w:sz w:val="18"/>
                <w:szCs w:val="18"/>
              </w:rPr>
              <w:t>Public</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25" w:name="_Toc256000009"/>
      <w:r>
        <w:rPr>
          <w:noProof/>
        </w:rPr>
        <w:t>2.A.4 Investment priority</w:t>
      </w:r>
      <w:bookmarkEnd w:id="2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68"/>
        <w:gridCol w:w="1230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 of the investment priority</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1a</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Title of the investment priority</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Enhancing research and innovation (R&amp;I) infrastructure and capacities to develop R&amp;I excellence, and promoting centres of competence, in particular those of European interest</w:t>
            </w:r>
          </w:p>
        </w:tc>
      </w:tr>
    </w:tbl>
    <w:p w:rsidR="008D5009" w:rsidP="008D5009">
      <w:pPr>
        <w:spacing w:before="0" w:after="0"/>
        <w:rPr>
          <w:sz w:val="22"/>
          <w:szCs w:val="22"/>
        </w:rPr>
      </w:pPr>
    </w:p>
    <w:p w:rsidR="008D5009" w:rsidRPr="00603402" w:rsidP="008D5009">
      <w:pPr>
        <w:pStyle w:val="ManualHeading2"/>
        <w:keepLines/>
        <w:spacing w:before="0" w:after="0"/>
      </w:pPr>
      <w:bookmarkStart w:id="26" w:name="_Toc256000011"/>
      <w:r>
        <w:rPr>
          <w:noProof/>
        </w:rPr>
        <w:t>2.A.5 Specific objectives corresponding to the investment priority and expected results</w:t>
      </w:r>
      <w:bookmarkEnd w:id="2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7"/>
        <w:gridCol w:w="10077"/>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 of the specific objective</w:t>
            </w:r>
          </w:p>
        </w:tc>
        <w:tc>
          <w:tcPr>
            <w:shd w:val="clear" w:color="auto" w:fill="auto"/>
          </w:tcPr>
          <w:p w:rsidR="008D5009" w:rsidRPr="00D6078B" w:rsidP="00426349">
            <w:pPr>
              <w:pStyle w:val="Text1"/>
              <w:spacing w:before="0" w:after="0"/>
              <w:ind w:left="0"/>
              <w:rPr>
                <w:b/>
                <w:sz w:val="18"/>
                <w:szCs w:val="18"/>
              </w:rPr>
            </w:pPr>
            <w:r>
              <w:rPr>
                <w:noProof/>
                <w:sz w:val="18"/>
                <w:szCs w:val="18"/>
              </w:rPr>
              <w:t>OS1.1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Title of the specific objective</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Creșterea capacității de CDI în domeniile de specializare inteligentă și în sănătate</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Results that the Member States seek to achieve with Union support</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Crearea de infrastructuri CD cheie pentru sprijinirea dezvoltării competitive a întreprinderilor</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 of the specific objective</w:t>
            </w:r>
          </w:p>
        </w:tc>
        <w:tc>
          <w:tcPr>
            <w:shd w:val="clear" w:color="auto" w:fill="auto"/>
          </w:tcPr>
          <w:p w:rsidR="008D5009" w:rsidRPr="00D6078B" w:rsidP="00426349">
            <w:pPr>
              <w:pStyle w:val="Text1"/>
              <w:spacing w:before="0" w:after="0"/>
              <w:ind w:left="0"/>
              <w:rPr>
                <w:b/>
                <w:sz w:val="18"/>
                <w:szCs w:val="18"/>
              </w:rPr>
            </w:pPr>
            <w:r>
              <w:rPr>
                <w:noProof/>
                <w:sz w:val="18"/>
                <w:szCs w:val="18"/>
              </w:rPr>
              <w:t>OS1.2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Title of the specific objective</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Creşterea participării româneşti în cercetarea la nivelul UE</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Results that the Member States seek to achieve with Union support</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Creşterea participării organizaţiilor de cercetare şi întreprinderilor (în special IMM-uri) din România la Orizont 2020 </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Table 3: Programme-specific result indicators, by specific objective</w:t>
      </w:r>
      <w:r>
        <w:rPr>
          <w:color w:val="000000"/>
        </w:rPr>
        <w:t xml:space="preserve"> </w:t>
      </w:r>
      <w:r>
        <w:rPr>
          <w:noProof/>
          <w:color w:val="000000"/>
        </w:rPr>
        <w:t>(for the ERDF and the Cohesion Fund)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
        <w:gridCol w:w="3517"/>
        <w:gridCol w:w="1694"/>
        <w:gridCol w:w="2539"/>
        <w:gridCol w:w="1146"/>
        <w:gridCol w:w="1087"/>
        <w:gridCol w:w="1487"/>
        <w:gridCol w:w="1159"/>
        <w:gridCol w:w="173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Specific objective</w:t>
            </w:r>
          </w:p>
        </w:tc>
        <w:tc>
          <w:tcPr>
            <w:gridSpan w:val="7"/>
            <w:shd w:val="clear" w:color="auto" w:fill="auto"/>
          </w:tcPr>
          <w:p w:rsidR="008D5009" w:rsidRPr="00D6078B" w:rsidP="00426349">
            <w:pPr>
              <w:spacing w:before="0" w:after="0"/>
              <w:rPr>
                <w:b/>
                <w:sz w:val="18"/>
                <w:szCs w:val="18"/>
              </w:rPr>
            </w:pPr>
            <w:r>
              <w:rPr>
                <w:b/>
                <w:noProof/>
                <w:sz w:val="18"/>
                <w:szCs w:val="18"/>
              </w:rPr>
              <w:t xml:space="preserve">OS1.1 - </w:t>
            </w:r>
            <w:r>
              <w:rPr>
                <w:b/>
                <w:noProof/>
                <w:sz w:val="18"/>
                <w:szCs w:val="18"/>
              </w:rPr>
              <w:t>Creșterea capacității de CDI în domeniile de specializare inteligentă și în sănătate</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w:t>
            </w:r>
          </w:p>
        </w:tc>
        <w:tc>
          <w:tcPr>
            <w:shd w:val="clear" w:color="auto" w:fill="auto"/>
          </w:tcPr>
          <w:p w:rsidR="008D5009" w:rsidRPr="00530EF1" w:rsidP="00426349">
            <w:pPr>
              <w:spacing w:before="0" w:after="0"/>
              <w:jc w:val="center"/>
              <w:rPr>
                <w:b/>
                <w:sz w:val="16"/>
                <w:szCs w:val="16"/>
              </w:rPr>
            </w:pPr>
            <w:r>
              <w:rPr>
                <w:b/>
                <w:noProof/>
                <w:color w:val="000000"/>
                <w:sz w:val="16"/>
                <w:szCs w:val="16"/>
              </w:rPr>
              <w:t>Indicator</w:t>
            </w:r>
          </w:p>
        </w:tc>
        <w:tc>
          <w:tcPr>
            <w:shd w:val="clear" w:color="auto" w:fill="auto"/>
          </w:tcPr>
          <w:p w:rsidR="008D5009" w:rsidRPr="00913A1A" w:rsidP="00426349">
            <w:pPr>
              <w:spacing w:before="0" w:after="0"/>
              <w:jc w:val="center"/>
              <w:rPr>
                <w:b/>
                <w:sz w:val="16"/>
                <w:szCs w:val="16"/>
              </w:rPr>
            </w:pPr>
            <w:r>
              <w:rPr>
                <w:b/>
                <w:noProof/>
                <w:color w:val="000000"/>
                <w:sz w:val="16"/>
                <w:szCs w:val="16"/>
              </w:rPr>
              <w:t>Measurement unit</w:t>
            </w:r>
          </w:p>
        </w:tc>
        <w:tc>
          <w:tcPr/>
          <w:p w:rsidR="008D5009" w:rsidRPr="007B722E" w:rsidP="00426349">
            <w:pPr>
              <w:spacing w:before="0" w:after="0"/>
              <w:jc w:val="center"/>
              <w:rPr>
                <w:b/>
                <w:color w:val="000000"/>
                <w:sz w:val="16"/>
                <w:szCs w:val="16"/>
              </w:rPr>
            </w:pPr>
            <w:r>
              <w:rPr>
                <w:b/>
                <w:noProof/>
                <w:color w:val="000000"/>
                <w:sz w:val="16"/>
                <w:szCs w:val="16"/>
              </w:rPr>
              <w:t>Category of region (where relevant)</w:t>
            </w:r>
          </w:p>
        </w:tc>
        <w:tc>
          <w:tcPr>
            <w:shd w:val="clear" w:color="auto" w:fill="auto"/>
          </w:tcPr>
          <w:p w:rsidR="008D5009" w:rsidRPr="007B722E" w:rsidP="00426349">
            <w:pPr>
              <w:spacing w:before="0" w:after="0"/>
              <w:jc w:val="center"/>
              <w:rPr>
                <w:b/>
                <w:sz w:val="16"/>
                <w:szCs w:val="16"/>
              </w:rPr>
            </w:pPr>
            <w:r>
              <w:rPr>
                <w:b/>
                <w:noProof/>
                <w:color w:val="000000"/>
                <w:sz w:val="16"/>
                <w:szCs w:val="16"/>
              </w:rPr>
              <w:t>Baseline value</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Baseline year</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Target value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Source of data</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Frequency of reporting</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3S1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Co-publicaţii ştiinţifice public-private la 1 mil. locuitori</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Publicații/ 1 mil. locuitori</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8.30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18.00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Eurostat</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Anual</w:t>
            </w:r>
          </w:p>
        </w:tc>
      </w:tr>
    </w:tbl>
    <w:p w:rsidR="008D5009" w:rsidP="008D5009">
      <w:pPr>
        <w:spacing w:before="0" w:after="0"/>
        <w:rPr>
          <w:b/>
          <w:lang w:val="pt-PT"/>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
        <w:gridCol w:w="4141"/>
        <w:gridCol w:w="1349"/>
        <w:gridCol w:w="2420"/>
        <w:gridCol w:w="1092"/>
        <w:gridCol w:w="1036"/>
        <w:gridCol w:w="1417"/>
        <w:gridCol w:w="1256"/>
        <w:gridCol w:w="165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Specific objective</w:t>
            </w:r>
          </w:p>
        </w:tc>
        <w:tc>
          <w:tcPr>
            <w:gridSpan w:val="7"/>
            <w:shd w:val="clear" w:color="auto" w:fill="auto"/>
          </w:tcPr>
          <w:p w:rsidR="008D5009" w:rsidRPr="00D6078B" w:rsidP="00426349">
            <w:pPr>
              <w:spacing w:before="0" w:after="0"/>
              <w:rPr>
                <w:b/>
                <w:sz w:val="18"/>
                <w:szCs w:val="18"/>
              </w:rPr>
            </w:pPr>
            <w:r>
              <w:rPr>
                <w:b/>
                <w:noProof/>
                <w:sz w:val="18"/>
                <w:szCs w:val="18"/>
              </w:rPr>
              <w:t xml:space="preserve">OS1.2 - </w:t>
            </w:r>
            <w:r>
              <w:rPr>
                <w:b/>
                <w:noProof/>
                <w:sz w:val="18"/>
                <w:szCs w:val="18"/>
              </w:rPr>
              <w:t>Creşterea participării româneşti în cercetarea la nivelul UE</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w:t>
            </w:r>
          </w:p>
        </w:tc>
        <w:tc>
          <w:tcPr>
            <w:shd w:val="clear" w:color="auto" w:fill="auto"/>
          </w:tcPr>
          <w:p w:rsidR="008D5009" w:rsidRPr="00530EF1" w:rsidP="00426349">
            <w:pPr>
              <w:spacing w:before="0" w:after="0"/>
              <w:jc w:val="center"/>
              <w:rPr>
                <w:b/>
                <w:sz w:val="16"/>
                <w:szCs w:val="16"/>
              </w:rPr>
            </w:pPr>
            <w:r>
              <w:rPr>
                <w:b/>
                <w:noProof/>
                <w:color w:val="000000"/>
                <w:sz w:val="16"/>
                <w:szCs w:val="16"/>
              </w:rPr>
              <w:t>Indicator</w:t>
            </w:r>
          </w:p>
        </w:tc>
        <w:tc>
          <w:tcPr>
            <w:shd w:val="clear" w:color="auto" w:fill="auto"/>
          </w:tcPr>
          <w:p w:rsidR="008D5009" w:rsidRPr="00913A1A" w:rsidP="00426349">
            <w:pPr>
              <w:spacing w:before="0" w:after="0"/>
              <w:jc w:val="center"/>
              <w:rPr>
                <w:b/>
                <w:sz w:val="16"/>
                <w:szCs w:val="16"/>
              </w:rPr>
            </w:pPr>
            <w:r>
              <w:rPr>
                <w:b/>
                <w:noProof/>
                <w:color w:val="000000"/>
                <w:sz w:val="16"/>
                <w:szCs w:val="16"/>
              </w:rPr>
              <w:t>Measurement unit</w:t>
            </w:r>
          </w:p>
        </w:tc>
        <w:tc>
          <w:tcPr/>
          <w:p w:rsidR="008D5009" w:rsidRPr="007B722E" w:rsidP="00426349">
            <w:pPr>
              <w:spacing w:before="0" w:after="0"/>
              <w:jc w:val="center"/>
              <w:rPr>
                <w:b/>
                <w:color w:val="000000"/>
                <w:sz w:val="16"/>
                <w:szCs w:val="16"/>
              </w:rPr>
            </w:pPr>
            <w:r>
              <w:rPr>
                <w:b/>
                <w:noProof/>
                <w:color w:val="000000"/>
                <w:sz w:val="16"/>
                <w:szCs w:val="16"/>
              </w:rPr>
              <w:t>Category of region (where relevant)</w:t>
            </w:r>
          </w:p>
        </w:tc>
        <w:tc>
          <w:tcPr>
            <w:shd w:val="clear" w:color="auto" w:fill="auto"/>
          </w:tcPr>
          <w:p w:rsidR="008D5009" w:rsidRPr="007B722E" w:rsidP="00426349">
            <w:pPr>
              <w:spacing w:before="0" w:after="0"/>
              <w:jc w:val="center"/>
              <w:rPr>
                <w:b/>
                <w:sz w:val="16"/>
                <w:szCs w:val="16"/>
              </w:rPr>
            </w:pPr>
            <w:r>
              <w:rPr>
                <w:b/>
                <w:noProof/>
                <w:color w:val="000000"/>
                <w:sz w:val="16"/>
                <w:szCs w:val="16"/>
              </w:rPr>
              <w:t>Baseline value</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Baseline year</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Target value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Source of data</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Frequency of reporting</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3S2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Contribuţie Orizont 2020 atrasă de instituţii participante din România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milioane euro</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136.50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270.00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Comisia Europeana</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Anual</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27" w:name="_Toc256000012"/>
      <w:r>
        <w:rPr>
          <w:noProof/>
        </w:rPr>
        <w:t>2.A.6 Action to be supported under the investment priority</w:t>
      </w:r>
      <w:bookmarkStart w:id="28" w:name="_Toc512434563"/>
      <w:bookmarkStart w:id="29" w:name="_Toc25666833"/>
      <w:bookmarkStart w:id="30" w:name="_Toc27646440"/>
      <w:bookmarkStart w:id="31" w:name="_Toc256000010"/>
      <w:r>
        <w:rPr>
          <w:b w:val="0"/>
        </w:rPr>
        <w:t xml:space="preserve"> </w:t>
      </w:r>
      <w:r>
        <w:rPr>
          <w:b w:val="0"/>
          <w:noProof/>
        </w:rPr>
        <w:t>(by investment priority)</w:t>
      </w:r>
      <w:bookmarkEnd w:id="27"/>
      <w:bookmarkEnd w:id="31"/>
      <w:bookmarkEnd w:id="28"/>
      <w:bookmarkEnd w:id="29"/>
      <w:bookmarkEnd w:id="30"/>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32" w:name="_Toc256000015"/>
      <w:r w:rsidRPr="0076169B">
        <w:rPr>
          <w:b/>
          <w:noProof/>
        </w:rPr>
        <w:t>2.A.6.1 Description of the type and examples of actions to be supported and their expected contribution to the specific objectives including, where appropriate, the identification of main target groups, specific territories targeted and types of beneficiaries</w:t>
      </w:r>
      <w:bookmarkEnd w:id="3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9"/>
        <w:gridCol w:w="1306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Investment priority</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1a - </w:t>
            </w:r>
            <w:r w:rsidRPr="0012385C">
              <w:rPr>
                <w:noProof/>
                <w:sz w:val="18"/>
                <w:szCs w:val="18"/>
              </w:rPr>
              <w:t>Enhancing research and innovation (R&amp;I) infrastructure and capacities to develop R&amp;I excellence, and promoting centres of competence, in particular those of European interest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b/>
                <w:bCs/>
                <w:u w:val="single"/>
              </w:rPr>
              <w:t>Acțiune 1.1.1: Mari infrastructuri de CD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se adresează obiectivului specific ” OS1.1 - Creșterea capacității de CDI în domeniile de specializare inteligentă și în sănătate”.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Tipuri de acţiuni/intervenţii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Prin această acțiune se va încuraja creșterea capacității de CD în domenii identificate de SNCDI ca domenii de cercetare de specializare inteligentă, precum și în sănătate, identificat ca domeniu prioritar de interes național. Aceasta se va realiza prin investiții pentru crearea și dotarea de noi laboratoare, centre de cercetare sau modernizarea celor existente, atât pentru instituții publice CD/ universități, cât și pentru firme cu activitate de cercetare.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are ca scop valorificarea potenţialului clusterelor existente/emergente prin conectarea instituțiilor publice CD/universităților care sunt sprijinite prin investiții, în vederea utilizării de către mediul economic a rezultatelor CD.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Pentru stimularea inovării acțiunea vizează și dezvoltarea clusterelor de inovare în sensul promovării utilizării în comun a echipamentelor, a schimbului și transferului de cunoștințe, stabilirea de contacte, diseminarea informațiilor și colaborarea între întreprinderi și alte organizații din cluster.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Această acțiune urmărește și sprijinirea construirii infrastructurilor de cercetare pan-europene în România (infrastructuri CD deschise, aflate pe lista ESFRI).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Atingerea rezultatelor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cazul acestei acțiuni se propun să fie finanțate următoarele tipuri de proiecte: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 proiecte de investiții pentru instituții publice CD/ universități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 proiecte de investiții pentru departamentele CD ale întreprinderilor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 proiecte pentru clustere de inovare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 proiecte majore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 cazul proiectelor de tip “a” se vor avea în vedere o serie de criterii de eligibilitate, din care cele mai importante sunt:</w:t>
            </w:r>
          </w:p>
          <w:p>
            <w:pPr>
              <w:numPr>
                <w:ilvl w:val="0"/>
                <w:numId w:val="9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încadrarea proiectului ca arie tematică de cercetare viitoare în domeniile de cercetare de specializare inteligentă sau în domeniul sănătate, în conformitate cu SNCDI;</w:t>
            </w:r>
          </w:p>
          <w:p>
            <w:pPr>
              <w:numPr>
                <w:ilvl w:val="0"/>
                <w:numId w:val="9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instituția de cercetare/universitatea să fie conectată cu o structură economică de tip cluster, existentă sau emergentă;</w:t>
            </w:r>
          </w:p>
          <w:p>
            <w:pPr>
              <w:numPr>
                <w:ilvl w:val="0"/>
                <w:numId w:val="9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finanțarea intervențiilor în cadrul Acțiunii 1.1.1 Mari infrastructuri de CD, AP1, POC, pornind de la prioritizarea stabilită prin </w:t>
            </w:r>
            <w:r>
              <w:rPr>
                <w:rFonts w:ascii="Times New Roman" w:eastAsia="Times New Roman" w:hAnsi="Times New Roman" w:cs="Times New Roman"/>
                <w:i/>
                <w:iCs/>
              </w:rPr>
              <w:t>Roadmap</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În cazul proiectelor tip “b” și “c”, se va menține criteriul de eligibilitate privind încadrarea proiectului ca arie tematică de cercetare viitoare în domeniile de cercetare de specializare inteligentă sau în domeniul sănătate, în conformitate cu SNCDI. De asemenea se va fundamenta impactul investițiilor propuse prin proiect pe baza unor documente economice și/sau de ordin strategic (vezi Anexa programului - </w:t>
            </w:r>
            <w:r>
              <w:rPr>
                <w:rFonts w:ascii="Times New Roman" w:eastAsia="Times New Roman" w:hAnsi="Times New Roman" w:cs="Times New Roman"/>
                <w:i/>
                <w:iCs/>
              </w:rPr>
              <w:t>Basic principles for the selection of the RD investment projects of public RD institutes and universities</w:t>
            </w:r>
            <w:r>
              <w:rPr>
                <w:rFonts w:ascii="Times New Roman" w:eastAsia="Times New Roman" w:hAnsi="Times New Roman" w:cs="Times New Roman"/>
              </w:rPr>
              <w:t>) care să evidențieze perspectiva de dezvoltare a respectivului beneficiar ca urmare a creșterii capacității de cercetare.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In cazul </w:t>
            </w:r>
            <w:r>
              <w:rPr>
                <w:rFonts w:ascii="Times New Roman" w:eastAsia="Times New Roman" w:hAnsi="Times New Roman" w:cs="Times New Roman"/>
                <w:b/>
                <w:bCs/>
              </w:rPr>
              <w:t>proiectelor majore</w:t>
            </w:r>
            <w:r>
              <w:rPr>
                <w:rFonts w:ascii="Times New Roman" w:eastAsia="Times New Roman" w:hAnsi="Times New Roman" w:cs="Times New Roman"/>
              </w:rPr>
              <w:t xml:space="preserve"> se vor finanța infrastructuri mari de cercetare pan-Europene aflate pe lista ESFRI și care se încadrează ca arie tematică de cercetare viitoare în domenii de cercetare de specializare inteligentă sau în domeniul sănătate, în conformitate cu SNCDI. În acest caz se află </w:t>
            </w:r>
            <w:r>
              <w:rPr>
                <w:rFonts w:ascii="Times New Roman" w:eastAsia="Times New Roman" w:hAnsi="Times New Roman" w:cs="Times New Roman"/>
                <w:b/>
                <w:bCs/>
              </w:rPr>
              <w:t>proiectul ELI-NP</w:t>
            </w:r>
            <w:r>
              <w:rPr>
                <w:rFonts w:ascii="Times New Roman" w:eastAsia="Times New Roman" w:hAnsi="Times New Roman" w:cs="Times New Roman"/>
              </w:rPr>
              <w:t xml:space="preserve"> care a fost finanțat în POS CCE și va continua cu faza a doua finanțată în POC.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O altă propunere de proiect este </w:t>
            </w:r>
            <w:r>
              <w:rPr>
                <w:rFonts w:ascii="Times New Roman" w:eastAsia="Times New Roman" w:hAnsi="Times New Roman" w:cs="Times New Roman"/>
                <w:b/>
                <w:bCs/>
              </w:rPr>
              <w:t>Centrul Internațional de Studii Avansate privind Sistemele Fluviu-Deltă-Mare (</w:t>
            </w:r>
            <w:r>
              <w:rPr>
                <w:rFonts w:ascii="Times New Roman" w:eastAsia="Times New Roman" w:hAnsi="Times New Roman" w:cs="Times New Roman"/>
                <w:b/>
                <w:bCs/>
              </w:rPr>
              <w:t>Danubius-RI)</w:t>
            </w:r>
            <w:r>
              <w:rPr>
                <w:rFonts w:ascii="Times New Roman" w:eastAsia="Times New Roman" w:hAnsi="Times New Roman" w:cs="Times New Roman"/>
              </w:rPr>
              <w:t>, care va fi propus la finanțare după includerea acestuia pe lista ESFRI.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Beneficiari</w:t>
            </w:r>
          </w:p>
          <w:p>
            <w:pPr>
              <w:numPr>
                <w:ilvl w:val="0"/>
                <w:numId w:val="9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institute publice CD sau universități - pentru proiectele tip “a”</w:t>
            </w:r>
          </w:p>
          <w:p>
            <w:pPr>
              <w:numPr>
                <w:ilvl w:val="0"/>
                <w:numId w:val="9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firme cu activitate CD menţionată în statut  - in cazul proiectelor tip “b”</w:t>
            </w:r>
          </w:p>
          <w:p>
            <w:pPr>
              <w:numPr>
                <w:ilvl w:val="0"/>
                <w:numId w:val="9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entități care administrează structuri de tip cluster inovativ pentru proiectele tip “c”.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Solicitantul trebuie să demonstreze necesitatea proiectului propus spre finanţare pentru dezvoltarea capacității de CDI, prin dezvoltarea activităţilor în cadrul clusterului, prin abordarea de tematici noi în domeniul prioritar, prin generarea de rezultate de cercetare cu aplicabilitate directă în economie, prin diversificare ofertei de servicii inovative, prin contribuţia la creşterea competitivităţii economiei româneşti.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Teritoriul acoperit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Întreg teritoriul național</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u w:val="single"/>
              </w:rPr>
              <w:t>Acțiunea 1.1.2 Dezvoltarea unor reţele de centre CD, coordonate la nivel naţional şi racordate la reţele europene şi internaţionale de profil și asigurarea accesului cercetătorilor la publicații științifice și baze de date europene și international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se adresează obiectivului specific ”Creșterea capacității de CDI in domeniile de specializare inteligentă și în sănătate”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Tipuri de acţiuni/intervenţii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Această acțiune va contribui la creşterea gradului de implicare și conectare a cercetătorilor români în reţele de cercetare internaţionale foarte specializate, care folosesc arhitecturi de tip GRID/CLOUD şi INFRASTUCTURI MASIVE DE DATE, de importanţă majoră pentru dezvoltarea viitoare a ştiinţei şi tehnologiei, şi va contribui în același timp la dezvoltarea infrastructurii specializate corespunzătoare pentru a sprijini proiectele mari şi complexe de cercetare.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aceleași timp, acțiunea vizează accesul cercetătorilor în mediul virtual la publicații științifice și baze de date de documentare. Accesul va fi asigurat pentru toate universitățile, instituțiile de cercetare-dezvoltare și bibliotecile centrale universitare printr-un proiect dedicat.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Atingerea rezultatelor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Se vor viza următoarele tipuri de proiecte</w:t>
            </w:r>
          </w:p>
          <w:p>
            <w:pPr>
              <w:numPr>
                <w:ilvl w:val="0"/>
                <w:numId w:val="9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Proiecte de tip CLOUD şi INFRASTUCTURI MASIVE DE DATE</w:t>
            </w:r>
          </w:p>
          <w:p>
            <w:pPr>
              <w:numPr>
                <w:ilvl w:val="0"/>
                <w:numId w:val="9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Proiect pentru continuarea dezvoltării RoEduNet prin realizarea buclelor locale și conectarea cât mai multor instituţii de cercetare; realizarea unei conexiuni de mare viteză la infrastructura UE; migrarea la capacităţi de mare viteză etc.</w:t>
            </w:r>
          </w:p>
          <w:p>
            <w:pPr>
              <w:numPr>
                <w:ilvl w:val="0"/>
                <w:numId w:val="9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Proiect pentru continuarea asigurării accesului la literatura internațională științifică de cercetare prin abonarea la principalele surse/baze de date internaționale, pentru rețeaua de universități publice, institute naționale de CD și biblioteci centrale universitare.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Beneficiari</w:t>
            </w:r>
          </w:p>
          <w:p>
            <w:pPr>
              <w:numPr>
                <w:ilvl w:val="0"/>
                <w:numId w:val="9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Organizaţiile de cercetare de drept public și/sau privat (instituții CD și de învățământ superior) - pentru proiectele de tip CLOUD şi INFRASTUCTURI MASIVE DE DATE</w:t>
            </w:r>
          </w:p>
          <w:p>
            <w:pPr>
              <w:numPr>
                <w:ilvl w:val="0"/>
                <w:numId w:val="9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Agenția de Administrare a RoEduNet - pentru proiectul dedicat continuarii dezvoltarii RoEduNet</w:t>
            </w:r>
          </w:p>
          <w:p>
            <w:pPr>
              <w:numPr>
                <w:ilvl w:val="0"/>
                <w:numId w:val="9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ANELIS PLUS pentru proiectul dedicat accesului cercetătorilor la bazele de date științifice internaționale.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Atât RoEduNet, cât și Anelis Plus sunt proiecte prioritare pentru creșterea capacității sistemului de CD din România, asigurând corelarea și conectarea la activitatea de cercetare internațională. Ambele proiecte sunt unice la nivel national și reprezintă piloni de susținere a acțiunilor ce vizează rezultate știintifice precum co-publicații, număr de brevete, specialiști străini etc.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Agenția de Administrare a RoEduNet și ANELIS PLUS sunt ”</w:t>
            </w:r>
            <w:r>
              <w:rPr>
                <w:rFonts w:ascii="Times New Roman" w:eastAsia="Times New Roman" w:hAnsi="Times New Roman" w:cs="Times New Roman"/>
                <w:i/>
                <w:iCs/>
              </w:rPr>
              <w:t>institutii dedicate scopului proiectului</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Teritoriul acoperit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Întreg teritoriul național.</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u w:val="single"/>
              </w:rPr>
              <w:t>Acțiune 1.1.3: Crearea de sinergii cu acţiunile de CDI ale programului-cadru ORIZONT 2020 al Uniunii Europene şi alte programe CDI internaționale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se adresează obiectivului specific ”</w:t>
            </w:r>
            <w:r>
              <w:rPr>
                <w:rFonts w:ascii="Times New Roman" w:eastAsia="Times New Roman" w:hAnsi="Times New Roman" w:cs="Times New Roman"/>
                <w:i/>
                <w:iCs/>
              </w:rPr>
              <w:t>Creșterea participării românești în cercetarea la nivelul UE</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Tipuri de acţiuni/intervenţii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Această acțiune contribuie la dezvoltarea unei perspective strategice comune în vederea asigurării consolidării, coordonării și complementarității dintre POC finanţat prin FEDR și programul-cadru Orizont 2020 al UE, cu scopul deblocării potențialului de excelență la nivel național în domeniul CDI și creșterii impactului fondurilor, prin:.</w:t>
            </w:r>
          </w:p>
          <w:p>
            <w:pPr>
              <w:numPr>
                <w:ilvl w:val="0"/>
                <w:numId w:val="9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stabilirea de legături între centrele de excelenţă emergente cu omologii lor de prim plan din alte state membre ale UE pentru creşterea excelenţei – proiecte Teaming;</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înfiinţarea unor „catedre ERA” în vederea atragerii cadrelor universitare de renume;</w:t>
            </w:r>
          </w:p>
          <w:p>
            <w:pPr>
              <w:numPr>
                <w:ilvl w:val="0"/>
                <w:numId w:val="9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optimizarea structurilor existente și, acolo unde este cazul, stabilirea unora noi pentru facilitarea identificării de priorități pentru diferitele instrumente și structuri de coordonare la nivel național (dezvoltare instituțională);</w:t>
            </w:r>
          </w:p>
          <w:p>
            <w:pPr>
              <w:numPr>
                <w:ilvl w:val="0"/>
                <w:numId w:val="9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sprijinirea organizaţiilor de cercetare şi întreprinderilor, în special IMM-uri, pentru pregătirea şi implementarea de proiecte în cadrul Orizont 2020 şi altor programe CDI internaţionale.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Atingerea rezultatelor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Între altele, următoarele tipuri de proiecte vor fi finanţate prin această acţiune:</w:t>
            </w:r>
          </w:p>
          <w:p>
            <w:pPr>
              <w:numPr>
                <w:ilvl w:val="0"/>
                <w:numId w:val="9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Proiecte pentru catedre ERA - „ERA Chairs” (ERA=Aria Europeană a Cercetării) au scopul de a atrage cadre universitare de renume în instituții care prezintă potențial de cercetare de excelență, pentru a sprijini aceste instituții să-și deblocheze potențialul, creând în felul acesta o bază pentru CDI în ERA. Orizont 2020 va finanţa costurile de personal şi administrative.</w:t>
            </w:r>
          </w:p>
          <w:p>
            <w:pPr>
              <w:numPr>
                <w:ilvl w:val="0"/>
                <w:numId w:val="9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Proiecte de ”teaming” între instituţii de cercetare puternice și instituţii de cercetare cu potenţial de excelenţă din regiunile cu performanțe scăzute în domeniul CDI vor conduce la îmbunătățirea centrelor de excelență din regiunile mai slab dezvoltate ale României. Orizont 2020 va finanţa faza pregătitoare a proiectului (inclusiv dezvoltarea unui plan de afaceri) în vederea dezvoltării capacităţii de CD printr-un proces de teaming cu o instituţie performantă dintr-un alt SM. Fondurile structurale vor interveni în faza a doua de teaming pentru finanţarea investiţiilor în infrastructura CD.</w:t>
            </w:r>
          </w:p>
          <w:p>
            <w:pPr>
              <w:numPr>
                <w:ilvl w:val="0"/>
                <w:numId w:val="9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Proiecte pentru crearea unor Centre Suport pentru sprijinirea elaborării propunerilor de proiecte CD pentru Orizont 2020 sau alte programe internaționale, în scopul creşterii ratei de succes a acestora. Aceste Centre Suport vor fi compuse din colective de specialiști din acele instituţii care pot demonstra o participare constantă, cu propuneri de proiecte la programele-cadru ale UE (FP5, 6, 7 și Orizont 2020) sau la alte programe CDI internaţionale. Centrele Suport astfel înființate vor susține potențialii participanți, inclusiv întreprinderile care vor dori să pregătească aplicații în cadrul programului Orizont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cadrul Acțiunii 1.1.3. indicatorii CO01, CO24 și CO27 contribuie la obiectivul specific ”</w:t>
            </w:r>
            <w:r>
              <w:rPr>
                <w:rFonts w:ascii="Times New Roman" w:eastAsia="Times New Roman" w:hAnsi="Times New Roman" w:cs="Times New Roman"/>
                <w:i/>
                <w:iCs/>
              </w:rPr>
              <w:t>Creșterea participării românești în cercetarea la nivelul UE</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Beneficiari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Organizaţii de cercetare de drept public şi/sau privat şi întreprinderi mari, mijlocii sau mici, care doresc să aplice şi/sau au o participare constantă la programele-cadru de cercetare ale UE sau alte programe internaţionale de CDI.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Teritoriul acoperit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Întreg teritoriul național.</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u w:val="single"/>
              </w:rPr>
              <w:t>Acțiune 1.1.4: Atragerea de personal cu competențe avansate din străinătate pentru consolidarea capacității CD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se adresează obiectivului specific ”Creșterea participării românești în cercetarea la nivelul UE”.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Tipuri de acţiuni/intervenţii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Această acțiune are ca obiectiv crearea de nuclee de competenţă ştiinţifică şi/sau tehnologică de înalt nivel, la standarde europene, în cadrul unei instituţii CD, al unei universităţi sau al unei întreprinderi gazdă, prin atragerea de specialişti din străinătate, de orice naţionalitate, cu competenţă recunoscută. Este încurajat transferul de competenţe între mediul academic şi cel industrial.</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Atingerea rezultatelor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Proiectele vor fi conduse de către specialistul din străinătate, care va fi angajat ca cercetător ştiinţific pe o perioada egală cel puţin cu durata proiectului, în instituţia gazdă. Acţiunea va urmări consolidarea capacităților de CDI în vederea pregătirii pentru participarea la Orizont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se va concentra pe cele patru domenii de specializare inteligentă stabilite de Strategia Naţională de CDI 2014-2020 (bioeconomie, tehnologii informaționale și de comunicații, spațiu și securitate, energie, mediu și schimbări climatice, eco-nano-tehnologii și materiale avansate) și pe sănătate, domeniu de interes național.</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Beneficiari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Organizaţii de cercetare de drept public şi/sau privat şi întreprinderile mari, mijlocii sau mici, cu activitate CD menţionată în statut.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Teritoriul acoperit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acoperă întreg teritoriul național.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33" w:name="_Toc256000016"/>
      <w:r>
        <w:rPr>
          <w:b/>
          <w:noProof/>
          <w:color w:val="000000"/>
        </w:rPr>
        <w:t>2.A.6.2 Guiding principles for selection of operations</w:t>
      </w:r>
      <w:bookmarkEnd w:id="3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9"/>
        <w:gridCol w:w="1306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Investment priority</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1a - </w:t>
            </w:r>
            <w:r w:rsidRPr="00C23AD8">
              <w:rPr>
                <w:noProof/>
                <w:color w:val="000000"/>
                <w:sz w:val="18"/>
                <w:szCs w:val="18"/>
              </w:rPr>
              <w:t>Enhancing research and innovation (R&amp;I) infrastructure and capacities to develop R&amp;I excellence, and promoting centres of competence, in particular those of European interest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Selectare a acţiunilor a a avut în vedere consolidarea activităţii de inovare şi transfer tehnologic și facilitarea accesului pe noi pieţe, creșterea numerică a resurselor umane angajate în activități de cercetare-dezvoltare și integrarea cercetătorilor români în circuitele europene și internaționale de cercetare.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Evaluarea științifică și tehnică a propunerilor de proiecte se va face în baza procedeului de peer-review care este standardul pentru competițiile de proiecte CDI (folosind evaluatori externi, specialiști în domeniile științifice ale proiectului și, după caz, experți economico-financiari), și va utiliza trei categorii de criterii de evaluare generale: relevanța științifică a proiectului și impactul său, calitatea și maturitatea proiectului și capacitatea de implementare, sustenabilitatea instituțională și financiară. Prin subcriteriile stabilite pe fiecare categorie de criterii se va diferenția specificitatea fiecărui tip de proiect. În  cazul Acțiunilori 1.1.1. și 1.1.4, la evaluarea și selecția proiectelor se vor utiliza experți internationali.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1.1.4 urmărește crearea de nuclee de competenţă ştiinţifică şi/sau tehnologică de înalt nivel, la standarde europene, în cadrul unei instituţii CD, al unei universităţi sau al unei întreprinderi gazdă, prin atragerea de specialişti din străinătate, de orice naţionalitate, cu competenţă recunoscută. Acești specialiști sunt cei care inițiază proiectul de cercetare si care vor crea si conduce noul grup de cercetatori.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selectarea proiectelor CDI din domeniul sănătății va prevala contribuția acestora la realizarea obiectivelor Strategiei Naționale de Sănătate 2014-2020 (prioritatea Promovarea cercetării și inovării în sănătate),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Anexa - </w:t>
            </w:r>
            <w:r>
              <w:rPr>
                <w:rFonts w:ascii="Times New Roman" w:eastAsia="Times New Roman" w:hAnsi="Times New Roman" w:cs="Times New Roman"/>
                <w:b/>
                <w:bCs/>
              </w:rPr>
              <w:t xml:space="preserve">Principii de bază pentru selecția proiectelor de investiții CDI realizate de institute publice de CD și universități </w:t>
            </w:r>
            <w:r>
              <w:rPr>
                <w:rFonts w:ascii="Times New Roman" w:eastAsia="Times New Roman" w:hAnsi="Times New Roman" w:cs="Times New Roman"/>
              </w:rPr>
              <w:t>detaliază procedura de evaluare și selecție, inclusiv eligibilitatea pentru proiectul de tip ”</w:t>
            </w:r>
            <w:r>
              <w:rPr>
                <w:rFonts w:ascii="Times New Roman" w:eastAsia="Times New Roman" w:hAnsi="Times New Roman" w:cs="Times New Roman"/>
                <w:i/>
                <w:iCs/>
              </w:rPr>
              <w:t>investiții pentru instituții publice de CD/universități</w:t>
            </w:r>
            <w:r>
              <w:rPr>
                <w:rFonts w:ascii="Times New Roman" w:eastAsia="Times New Roman" w:hAnsi="Times New Roman" w:cs="Times New Roman"/>
              </w:rPr>
              <w:t xml:space="preserve">”, din cadrul Acțiunii 1.1.1. Această procedură va fi luată în considerare la elaborarea metodologiei privind actualizarea </w:t>
            </w:r>
            <w:r>
              <w:rPr>
                <w:rFonts w:ascii="Times New Roman" w:eastAsia="Times New Roman" w:hAnsi="Times New Roman" w:cs="Times New Roman"/>
                <w:b/>
                <w:bCs/>
              </w:rPr>
              <w:t>Roadmap-ului pentru infrastructuri publice CD din România.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cadrul apelurilor de proiecte unde legatura cu sectoarele economice competitive identificate prin este relevantă, în procesul de selectie se va acorda prioritate proiectelor care au legatură cu aceste sectoare.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 asemenea, se va acorda prioritate acelor proiecte care vor promova cercetare in domeniile susținute prin investiții din alte programe operationale, precum: tehnologii utilizate în promovarea eficienței energetice în clădiri, tehnologii vizând producția de energie regenerabilă, cogenerare, monitorizare inteligentă a consumului de energie, transportul și distribuția inteligentă de energie electrică și gaz, utilizarea eficientă a resurselor, reciclarea și valorificarea deșeurilor, soluții pentru decontaminarea siturilor poluate, reducerea consumului de energie/combustibili în transport, sisteme de siguranta și securitate în transport 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Totodată, în cazul în care sprijinul FEDR este acordat unei întreprinderi mari, autoritatea de management sa va asigura că proiectul nu derivă din, sau nu implică delocalizarea unor activităţi similare dintr-un alt stat membru UE implicând o reducere substanțială de locuri de muncă.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Autoritatea de management se va asigura că sprijinul public (FEDR și fonduri publice naționale) acordat în cadrul acestui program respectă normele de procedură în materia ajutorului de stat aplicabile la momentul de timp când se acordă sprijinul public.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Notă: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cadrul Acțiunii 1.1.1. se pot selecta la finanțare operațiuni  (proiecte pilot) prin folosirea mecanismului necompetitiv, cu respectarea legislației naționale și europene în vigoare.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34" w:name="_Toc256000018"/>
      <w:r>
        <w:rPr>
          <w:b/>
          <w:noProof/>
        </w:rPr>
        <w:t>2.A.6.3 Planned use of financial instruments</w:t>
      </w:r>
      <w:bookmarkStart w:id="35" w:name="_Toc512434566"/>
      <w:bookmarkStart w:id="36" w:name="_Toc25666836"/>
      <w:bookmarkStart w:id="37" w:name="_Toc27646443"/>
      <w:bookmarkStart w:id="38" w:name="_Toc256000013"/>
      <w:r>
        <w:rPr>
          <w:b/>
        </w:rPr>
        <w:t xml:space="preserve"> </w:t>
      </w:r>
      <w:r>
        <w:rPr>
          <w:i w:val="0"/>
          <w:noProof/>
        </w:rPr>
        <w:t>(where appropriate)</w:t>
      </w:r>
      <w:bookmarkEnd w:id="34"/>
      <w:bookmarkEnd w:id="38"/>
      <w:bookmarkEnd w:id="35"/>
      <w:bookmarkEnd w:id="36"/>
      <w:bookmarkEnd w:id="3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9"/>
        <w:gridCol w:w="1306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Investment priority</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1a - </w:t>
            </w:r>
            <w:r w:rsidRPr="00420C06">
              <w:rPr>
                <w:noProof/>
                <w:sz w:val="18"/>
                <w:szCs w:val="18"/>
              </w:rPr>
              <w:t>Enhancing research and innovation (R&amp;I) infrastructure and capacities to develop R&amp;I excellence, and promoting centres of competence, in particular those of European interest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39" w:name="_Toc256000019"/>
      <w:r w:rsidRPr="00164AE6">
        <w:rPr>
          <w:b/>
          <w:noProof/>
          <w:lang w:val="fr-BE"/>
        </w:rPr>
        <w:t>2.A.6.4 Planned use of major projects</w:t>
      </w:r>
      <w:bookmarkStart w:id="40" w:name="_Toc512434567"/>
      <w:bookmarkStart w:id="41" w:name="_Toc25666837"/>
      <w:bookmarkStart w:id="42" w:name="_Toc27646444"/>
      <w:bookmarkStart w:id="43" w:name="_Toc256000014"/>
      <w:r w:rsidRPr="00164AE6">
        <w:rPr>
          <w:i w:val="0"/>
          <w:lang w:val="fr-BE"/>
        </w:rPr>
        <w:t xml:space="preserve"> </w:t>
      </w:r>
      <w:r w:rsidRPr="00164AE6">
        <w:rPr>
          <w:i w:val="0"/>
          <w:noProof/>
          <w:lang w:val="fr-BE"/>
        </w:rPr>
        <w:t>(where appropriate)</w:t>
      </w:r>
      <w:bookmarkEnd w:id="39"/>
      <w:bookmarkEnd w:id="43"/>
      <w:bookmarkEnd w:id="40"/>
      <w:bookmarkEnd w:id="41"/>
      <w:bookmarkEnd w:id="4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9"/>
        <w:gridCol w:w="1306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Investment priority</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1a - </w:t>
            </w:r>
            <w:r w:rsidRPr="00420C06">
              <w:rPr>
                <w:noProof/>
                <w:sz w:val="18"/>
                <w:szCs w:val="18"/>
              </w:rPr>
              <w:t>Enhancing research and innovation (R&amp;I) infrastructure and capacities to develop R&amp;I excellence, and promoting centres of competence, in particular those of European interest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b/>
                <w:bCs/>
              </w:rPr>
              <w:t>a) Proiectul Extreme Light Infrastructure - Nuclear Physics (ELI-NP), faza II de dezvoltare, care continuă investiția începută în perioada de programare 2007-2013 va avea două componente:</w:t>
            </w:r>
          </w:p>
          <w:p>
            <w:pPr>
              <w:numPr>
                <w:ilvl w:val="0"/>
                <w:numId w:val="9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un laser de intensitate foarte înaltă, unde două lasere de 10PW sunt adăugate în mod coerent la intensități de 1023–1024 W/cm sau câmpuri electrice de 1015 V/m</w:t>
            </w:r>
          </w:p>
          <w:p>
            <w:pPr>
              <w:numPr>
                <w:ilvl w:val="0"/>
                <w:numId w:val="9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un fascicul ɣ foarte intens (1013 ɣ/s) și strălucitor, cu o lățime a benzii de 0,1% și cu Eɣ până la 20MeV, care se obține prin retroîmprăștiere incoerentă prin effect Compton a unei lumini a laserului dintr-o rază de electroni clasică foarte strălucitoare și intensă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ELI-NP va permite atât experimente combinate între un laser de mare putere și un fascicul ɣ, cât și experimente autonome. Această infrastructură va reprezenta un nou laborator european pentru o gamă largă de științe și aplicații în diferite domenii ale științei: materiale nucleare, gestionarea deșeurilor radioactive, știința materialelor și științe ale vieții.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Amplasamentul infrastructurii de cercetare, care se construiește în faza 1, se află adiacent de locația actuală a beneficiarului IFIN-HH, în Măgurele, care găzduiește câteva instalații naționale nucleare. ELI-NP va adăuga aproximativ 36.500 mp clădiri noi, din care 23.700 mp vor fi dedicați sistemului laser de mare putere, sistemului de producere a fasciculului gama și echipamentelor pentru experimente distribuite. Infrastructura va avea capacitatea să găzduiască un număr maxim de 62 experimente de cercetare anual. ELI-NP va avea 262 angajați, dintre care 218 cercetători. Consorțiul ELI-ERIC va fi responsabil cu funcționarea ELI-NP, împreună cu alte două infrastructuri ELI aflate în Republica Cehă și în Ungaria. Cu implicarea unor țări importante ca Franța, Germania sau Marea Britanie, în afara celor trei țări gazdă, ELI-ERIC va fi o infrastructură internațională de cercetare, care reprezintă o dezvoltare fără precedent în domeniul științei laserilor. In România, IFIN-HH este responsabil cu implementarea proiectului ELI-NP, cu sprijinul altor două institute de cercetare din Măgurele, INFLPR și NCDFM.</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b) Centrul Internațional de Studii Avansate privind Sistemele Fluviu-Deltă-Mare (DANUBIUS–RI)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Acest proiect va fi propus ca viitoare infrastructură majoră pan-europeană a ESFRI în domeniul managementului integrat al sistemelor fluviu-deltă-mare, cu accent pe macrosistemul Dunăre-Marea Neagră, urmând a obține statutul legal de ERIC în calitate de entitate juridică.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DANUBIUS–RI a primit statutul de Proiect Fanion în cadrul Domeniului Prioritar 7 </w:t>
            </w:r>
            <w:r>
              <w:rPr>
                <w:rFonts w:ascii="Times New Roman" w:eastAsia="Times New Roman" w:hAnsi="Times New Roman" w:cs="Times New Roman"/>
                <w:i/>
                <w:iCs/>
              </w:rPr>
              <w:t>Societatea bazată pe Cunoaștere</w:t>
            </w:r>
            <w:r>
              <w:rPr>
                <w:rFonts w:ascii="Times New Roman" w:eastAsia="Times New Roman" w:hAnsi="Times New Roman" w:cs="Times New Roman"/>
              </w:rPr>
              <w:t xml:space="preserve"> a SUERD (2.11.2013).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Se prevede ca proiectul să cuprindă un Nucleu în Delta Dunării - având rolul de centru de comandă, dar și acela de locație de cercetare (Delta “laborator natural”) și loc în care să fie concentrate laboratoare cu dotare de excelență – precum și o serie de Noduri Europene. Aceste noduri vor da DANUBIUS-RI un caracter de infrastructură distribuită și vor avea o contribuție suplimentară prin facilitățile de cercetare angajate în procese/metodologii de cercetare în întreaga Europă. Misiunea centrului DANUBIUS va fi aceea de a furniza soluții științifice inovative, ca răspuns la principalele provocări globale din domeniu și de a stabili cadrul pentru dezvoltarea durabilă a sistemului Dunăre–Delta Dunării–Marea Neagră, ca bună practică pentru sistemele majore de tip fluviu-deltă-mare la nivel mondial.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Prin POC se dorește finanțarea unui proiect pregătitor pentru DANUBIUS-RI (val. est. 5 mil. euro FEDR).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44" w:name="_Toc256000020"/>
      <w:r>
        <w:rPr>
          <w:b/>
          <w:noProof/>
          <w:color w:val="000000"/>
        </w:rPr>
        <w:t>2.A.6.5 Output indicators by investment priority and, where appropriate by category of region</w:t>
      </w:r>
      <w:bookmarkEnd w:id="44"/>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Table 5: Common and programme-specific output indicators</w:t>
      </w:r>
      <w:r>
        <w:rPr>
          <w:color w:val="000000"/>
        </w:rPr>
        <w:t xml:space="preserve"> </w:t>
      </w:r>
      <w:r>
        <w:rPr>
          <w:noProof/>
          <w:color w:val="000000"/>
        </w:rPr>
        <w:t>(by investment priority, broken down by category of region for the ESF, and where relevant, for the ERDF)</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4956"/>
        <w:gridCol w:w="1425"/>
        <w:gridCol w:w="645"/>
        <w:gridCol w:w="2385"/>
        <w:gridCol w:w="387"/>
        <w:gridCol w:w="396"/>
        <w:gridCol w:w="1156"/>
        <w:gridCol w:w="1294"/>
        <w:gridCol w:w="151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45" w:name="_Toc256000022"/>
            <w:r>
              <w:rPr>
                <w:b/>
                <w:i w:val="0"/>
                <w:noProof/>
                <w:color w:val="000000"/>
                <w:sz w:val="16"/>
                <w:szCs w:val="16"/>
              </w:rPr>
              <w:t>Investment priority</w:t>
            </w:r>
            <w:bookmarkEnd w:id="45"/>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46" w:name="_Toc256000023"/>
            <w:r w:rsidRPr="005D6B15">
              <w:rPr>
                <w:b/>
                <w:i w:val="0"/>
                <w:noProof/>
                <w:color w:val="000000"/>
                <w:sz w:val="16"/>
                <w:szCs w:val="16"/>
              </w:rPr>
              <w:t xml:space="preserve">1a - </w:t>
            </w:r>
            <w:bookmarkStart w:id="47" w:name="_Toc512434570"/>
            <w:bookmarkStart w:id="48" w:name="_Toc25666840"/>
            <w:bookmarkStart w:id="49" w:name="_Toc27646447"/>
            <w:bookmarkStart w:id="50" w:name="_Toc256000017"/>
            <w:r w:rsidRPr="005D6B15">
              <w:rPr>
                <w:b/>
                <w:i w:val="0"/>
                <w:noProof/>
                <w:color w:val="000000"/>
                <w:sz w:val="16"/>
                <w:szCs w:val="16"/>
              </w:rPr>
              <w:t>Enhancing research and innovation (R&amp;I) infrastructure and capacities to develop R&amp;I excellence, and promoting centres of competence, in particular those of European interest</w:t>
            </w:r>
            <w:bookmarkEnd w:id="46"/>
            <w:bookmarkEnd w:id="50"/>
            <w:bookmarkEnd w:id="47"/>
            <w:bookmarkEnd w:id="48"/>
            <w:bookmarkEnd w:id="49"/>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Indicator</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Measurement unit</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Fund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Category of region (where relevant)</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Target value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Source of data</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Frequency of reporting</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W</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T</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3S51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Studii/analize finanțate şi finalizate prin proiectul-suport și folosite în implementarea proiectului major</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Studii/analize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10.00</w:t>
            </w:r>
          </w:p>
        </w:tc>
        <w:tc>
          <w:tcPr>
            <w:shd w:val="clear" w:color="auto" w:fill="auto"/>
          </w:tcPr>
          <w:p w:rsidR="008D5009" w:rsidRPr="00870D13" w:rsidP="00426349">
            <w:pPr>
              <w:spacing w:before="0" w:after="0"/>
              <w:rPr>
                <w:color w:val="000000"/>
                <w:sz w:val="16"/>
                <w:szCs w:val="16"/>
              </w:rPr>
            </w:pPr>
            <w:r w:rsidRPr="00870D13">
              <w:rPr>
                <w:noProof/>
                <w:sz w:val="16"/>
                <w:szCs w:val="16"/>
              </w:rPr>
              <w:t>Consorţiul Danubius</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Centre suport pentru aplicaţii la Orizont 2020 şi la alte programe internaţionale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Centre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w:t>
            </w:r>
          </w:p>
        </w:tc>
        <w:tc>
          <w:tcPr>
            <w:shd w:val="clear" w:color="auto" w:fill="auto"/>
          </w:tcPr>
          <w:p w:rsidR="008D5009" w:rsidRPr="00870D13" w:rsidP="00426349">
            <w:pPr>
              <w:spacing w:before="0" w:after="0"/>
              <w:rPr>
                <w:color w:val="000000"/>
                <w:sz w:val="16"/>
                <w:szCs w:val="16"/>
              </w:rPr>
            </w:pPr>
            <w:r w:rsidRPr="00870D13">
              <w:rPr>
                <w:noProof/>
                <w:sz w:val="16"/>
                <w:szCs w:val="16"/>
              </w:rPr>
              <w:t>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Specialişti din străinătate angajaţi în proiectele susţinute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Specialisti</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44.00</w:t>
            </w:r>
          </w:p>
        </w:tc>
        <w:tc>
          <w:tcPr>
            <w:shd w:val="clear" w:color="auto" w:fill="auto"/>
          </w:tcPr>
          <w:p w:rsidR="008D5009" w:rsidRPr="00870D13" w:rsidP="00426349">
            <w:pPr>
              <w:spacing w:before="0" w:after="0"/>
              <w:rPr>
                <w:color w:val="000000"/>
                <w:sz w:val="16"/>
                <w:szCs w:val="16"/>
              </w:rPr>
            </w:pPr>
            <w:r w:rsidRPr="00870D13">
              <w:rPr>
                <w:noProof/>
                <w:sz w:val="16"/>
                <w:szCs w:val="16"/>
              </w:rPr>
              <w:t>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CO01</w:t>
            </w:r>
          </w:p>
        </w:tc>
        <w:tc>
          <w:tcPr>
            <w:shd w:val="clear" w:color="auto" w:fill="auto"/>
          </w:tcPr>
          <w:p w:rsidR="008D5009" w:rsidRPr="00870D13" w:rsidP="00426349">
            <w:pPr>
              <w:spacing w:before="0" w:after="0"/>
              <w:rPr>
                <w:color w:val="000000"/>
                <w:sz w:val="16"/>
                <w:szCs w:val="16"/>
              </w:rPr>
            </w:pPr>
            <w:r>
              <w:rPr>
                <w:noProof/>
                <w:color w:val="000000"/>
                <w:sz w:val="16"/>
                <w:szCs w:val="16"/>
              </w:rPr>
              <w:t>Productive investment: Number of enterprises receiving support</w:t>
            </w:r>
          </w:p>
        </w:tc>
        <w:tc>
          <w:tcPr>
            <w:shd w:val="clear" w:color="auto" w:fill="auto"/>
          </w:tcPr>
          <w:p w:rsidR="008D5009" w:rsidRPr="00870D13" w:rsidP="00426349">
            <w:pPr>
              <w:spacing w:before="0" w:after="0"/>
              <w:rPr>
                <w:color w:val="000000"/>
                <w:sz w:val="16"/>
                <w:szCs w:val="16"/>
              </w:rPr>
            </w:pPr>
            <w:r>
              <w:rPr>
                <w:noProof/>
                <w:color w:val="000000"/>
                <w:sz w:val="16"/>
                <w:szCs w:val="16"/>
              </w:rPr>
              <w:t>Enterprises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53.00</w:t>
            </w:r>
          </w:p>
        </w:tc>
        <w:tc>
          <w:tcPr>
            <w:shd w:val="clear" w:color="auto" w:fill="auto"/>
          </w:tcPr>
          <w:p w:rsidR="008D5009" w:rsidRPr="00870D13" w:rsidP="00426349">
            <w:pPr>
              <w:spacing w:before="0" w:after="0"/>
              <w:rPr>
                <w:color w:val="000000"/>
                <w:sz w:val="16"/>
                <w:szCs w:val="16"/>
              </w:rPr>
            </w:pPr>
            <w:r w:rsidRPr="00870D13">
              <w:rPr>
                <w:noProof/>
                <w:sz w:val="16"/>
                <w:szCs w:val="16"/>
              </w:rPr>
              <w:t>MFE/MEN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CO24</w:t>
            </w:r>
          </w:p>
        </w:tc>
        <w:tc>
          <w:tcPr>
            <w:shd w:val="clear" w:color="auto" w:fill="auto"/>
          </w:tcPr>
          <w:p w:rsidR="008D5009" w:rsidRPr="00870D13" w:rsidP="00426349">
            <w:pPr>
              <w:spacing w:before="0" w:after="0"/>
              <w:rPr>
                <w:color w:val="000000"/>
                <w:sz w:val="16"/>
                <w:szCs w:val="16"/>
              </w:rPr>
            </w:pPr>
            <w:r>
              <w:rPr>
                <w:noProof/>
                <w:color w:val="000000"/>
                <w:sz w:val="16"/>
                <w:szCs w:val="16"/>
              </w:rPr>
              <w:t>Research, innovation: Number of new researchers in supported entities</w:t>
            </w:r>
          </w:p>
        </w:tc>
        <w:tc>
          <w:tcPr>
            <w:shd w:val="clear" w:color="auto" w:fill="auto"/>
          </w:tcPr>
          <w:p w:rsidR="008D5009" w:rsidRPr="00870D13" w:rsidP="00426349">
            <w:pPr>
              <w:spacing w:before="0" w:after="0"/>
              <w:rPr>
                <w:color w:val="000000"/>
                <w:sz w:val="16"/>
                <w:szCs w:val="16"/>
              </w:rPr>
            </w:pPr>
            <w:r>
              <w:rPr>
                <w:noProof/>
                <w:color w:val="000000"/>
                <w:sz w:val="16"/>
                <w:szCs w:val="16"/>
              </w:rPr>
              <w:t>Full time equivalents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173.98</w:t>
            </w:r>
          </w:p>
        </w:tc>
        <w:tc>
          <w:tcPr>
            <w:shd w:val="clear" w:color="auto" w:fill="auto"/>
          </w:tcPr>
          <w:p w:rsidR="008D5009" w:rsidRPr="00870D13" w:rsidP="00426349">
            <w:pPr>
              <w:spacing w:before="0" w:after="0"/>
              <w:rPr>
                <w:color w:val="000000"/>
                <w:sz w:val="16"/>
                <w:szCs w:val="16"/>
              </w:rPr>
            </w:pPr>
            <w:r w:rsidRPr="00870D13">
              <w:rPr>
                <w:noProof/>
                <w:sz w:val="16"/>
                <w:szCs w:val="16"/>
              </w:rPr>
              <w:t>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CO25</w:t>
            </w:r>
          </w:p>
        </w:tc>
        <w:tc>
          <w:tcPr>
            <w:shd w:val="clear" w:color="auto" w:fill="auto"/>
          </w:tcPr>
          <w:p w:rsidR="008D5009" w:rsidRPr="00870D13" w:rsidP="00426349">
            <w:pPr>
              <w:spacing w:before="0" w:after="0"/>
              <w:rPr>
                <w:color w:val="000000"/>
                <w:sz w:val="16"/>
                <w:szCs w:val="16"/>
              </w:rPr>
            </w:pPr>
            <w:r>
              <w:rPr>
                <w:noProof/>
                <w:color w:val="000000"/>
                <w:sz w:val="16"/>
                <w:szCs w:val="16"/>
              </w:rPr>
              <w:t>Research, Innovation: Number of researchers working in improved research infrastructure facilities</w:t>
            </w:r>
          </w:p>
        </w:tc>
        <w:tc>
          <w:tcPr>
            <w:shd w:val="clear" w:color="auto" w:fill="auto"/>
          </w:tcPr>
          <w:p w:rsidR="008D5009" w:rsidRPr="00870D13" w:rsidP="00426349">
            <w:pPr>
              <w:spacing w:before="0" w:after="0"/>
              <w:rPr>
                <w:color w:val="000000"/>
                <w:sz w:val="16"/>
                <w:szCs w:val="16"/>
              </w:rPr>
            </w:pPr>
            <w:r>
              <w:rPr>
                <w:noProof/>
                <w:color w:val="000000"/>
                <w:sz w:val="16"/>
                <w:szCs w:val="16"/>
              </w:rPr>
              <w:t>Full time equivalents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410.92</w:t>
            </w:r>
          </w:p>
        </w:tc>
        <w:tc>
          <w:tcPr>
            <w:shd w:val="clear" w:color="auto" w:fill="auto"/>
          </w:tcPr>
          <w:p w:rsidR="008D5009" w:rsidRPr="00870D13" w:rsidP="00426349">
            <w:pPr>
              <w:spacing w:before="0" w:after="0"/>
              <w:rPr>
                <w:color w:val="000000"/>
                <w:sz w:val="16"/>
                <w:szCs w:val="16"/>
              </w:rPr>
            </w:pPr>
            <w:r w:rsidRPr="00870D13">
              <w:rPr>
                <w:noProof/>
                <w:sz w:val="16"/>
                <w:szCs w:val="16"/>
              </w:rPr>
              <w:t>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CO27</w:t>
            </w:r>
          </w:p>
        </w:tc>
        <w:tc>
          <w:tcPr>
            <w:shd w:val="clear" w:color="auto" w:fill="auto"/>
          </w:tcPr>
          <w:p w:rsidR="008D5009" w:rsidRPr="00870D13" w:rsidP="00426349">
            <w:pPr>
              <w:spacing w:before="0" w:after="0"/>
              <w:rPr>
                <w:color w:val="000000"/>
                <w:sz w:val="16"/>
                <w:szCs w:val="16"/>
              </w:rPr>
            </w:pPr>
            <w:r>
              <w:rPr>
                <w:noProof/>
                <w:color w:val="000000"/>
                <w:sz w:val="16"/>
                <w:szCs w:val="16"/>
              </w:rPr>
              <w:t>Research, Innovation: Private investment matching public support in innovation or R&amp;D projects</w:t>
            </w:r>
          </w:p>
        </w:tc>
        <w:tc>
          <w:tcPr>
            <w:shd w:val="clear" w:color="auto" w:fill="auto"/>
          </w:tcPr>
          <w:p w:rsidR="008D5009" w:rsidRPr="00870D13" w:rsidP="00426349">
            <w:pPr>
              <w:spacing w:before="0" w:after="0"/>
              <w:rPr>
                <w:color w:val="000000"/>
                <w:sz w:val="16"/>
                <w:szCs w:val="16"/>
              </w:rPr>
            </w:pPr>
            <w:r>
              <w:rPr>
                <w:noProof/>
                <w:color w:val="000000"/>
                <w:sz w:val="16"/>
                <w:szCs w:val="16"/>
              </w:rPr>
              <w:t>EUR</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51,410,000.00</w:t>
            </w:r>
          </w:p>
        </w:tc>
        <w:tc>
          <w:tcPr>
            <w:shd w:val="clear" w:color="auto" w:fill="auto"/>
          </w:tcPr>
          <w:p w:rsidR="008D5009" w:rsidRPr="00870D13" w:rsidP="00426349">
            <w:pPr>
              <w:spacing w:before="0" w:after="0"/>
              <w:rPr>
                <w:color w:val="000000"/>
                <w:sz w:val="16"/>
                <w:szCs w:val="16"/>
              </w:rPr>
            </w:pPr>
            <w:r w:rsidRPr="00870D13">
              <w:rPr>
                <w:noProof/>
                <w:sz w:val="16"/>
                <w:szCs w:val="16"/>
              </w:rPr>
              <w:t>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Centre suport pentru aplicaţii la Orizont 2020 şi la alte programe internaţionale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Centre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7.00</w:t>
            </w:r>
          </w:p>
        </w:tc>
        <w:tc>
          <w:tcPr>
            <w:shd w:val="clear" w:color="auto" w:fill="auto"/>
          </w:tcPr>
          <w:p w:rsidR="008D5009" w:rsidRPr="00870D13" w:rsidP="00426349">
            <w:pPr>
              <w:spacing w:before="0" w:after="0"/>
              <w:rPr>
                <w:color w:val="000000"/>
                <w:sz w:val="16"/>
                <w:szCs w:val="16"/>
              </w:rPr>
            </w:pPr>
            <w:r w:rsidRPr="00870D13">
              <w:rPr>
                <w:noProof/>
                <w:sz w:val="16"/>
                <w:szCs w:val="16"/>
              </w:rPr>
              <w:t>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Specialişti din străinătate angajaţi în proiectele susţinute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Specialisti</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6.00</w:t>
            </w:r>
          </w:p>
        </w:tc>
        <w:tc>
          <w:tcPr>
            <w:shd w:val="clear" w:color="auto" w:fill="auto"/>
          </w:tcPr>
          <w:p w:rsidR="008D5009" w:rsidRPr="00870D13" w:rsidP="00426349">
            <w:pPr>
              <w:spacing w:before="0" w:after="0"/>
              <w:rPr>
                <w:color w:val="000000"/>
                <w:sz w:val="16"/>
                <w:szCs w:val="16"/>
              </w:rPr>
            </w:pPr>
            <w:r w:rsidRPr="00870D13">
              <w:rPr>
                <w:noProof/>
                <w:sz w:val="16"/>
                <w:szCs w:val="16"/>
              </w:rPr>
              <w:t>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CO01</w:t>
            </w:r>
          </w:p>
        </w:tc>
        <w:tc>
          <w:tcPr>
            <w:shd w:val="clear" w:color="auto" w:fill="auto"/>
          </w:tcPr>
          <w:p w:rsidR="008D5009" w:rsidRPr="00870D13" w:rsidP="00426349">
            <w:pPr>
              <w:spacing w:before="0" w:after="0"/>
              <w:rPr>
                <w:color w:val="000000"/>
                <w:sz w:val="16"/>
                <w:szCs w:val="16"/>
              </w:rPr>
            </w:pPr>
            <w:r>
              <w:rPr>
                <w:noProof/>
                <w:color w:val="000000"/>
                <w:sz w:val="16"/>
                <w:szCs w:val="16"/>
              </w:rPr>
              <w:t>Productive investment: Number of enterprises receiving support</w:t>
            </w:r>
          </w:p>
        </w:tc>
        <w:tc>
          <w:tcPr>
            <w:shd w:val="clear" w:color="auto" w:fill="auto"/>
          </w:tcPr>
          <w:p w:rsidR="008D5009" w:rsidRPr="00870D13" w:rsidP="00426349">
            <w:pPr>
              <w:spacing w:before="0" w:after="0"/>
              <w:rPr>
                <w:color w:val="000000"/>
                <w:sz w:val="16"/>
                <w:szCs w:val="16"/>
              </w:rPr>
            </w:pPr>
            <w:r>
              <w:rPr>
                <w:noProof/>
                <w:color w:val="000000"/>
                <w:sz w:val="16"/>
                <w:szCs w:val="16"/>
              </w:rPr>
              <w:t>Enterprises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9.00</w:t>
            </w:r>
          </w:p>
        </w:tc>
        <w:tc>
          <w:tcPr>
            <w:shd w:val="clear" w:color="auto" w:fill="auto"/>
          </w:tcPr>
          <w:p w:rsidR="008D5009" w:rsidRPr="00870D13" w:rsidP="00426349">
            <w:pPr>
              <w:spacing w:before="0" w:after="0"/>
              <w:rPr>
                <w:color w:val="000000"/>
                <w:sz w:val="16"/>
                <w:szCs w:val="16"/>
              </w:rPr>
            </w:pPr>
            <w:r w:rsidRPr="00870D13">
              <w:rPr>
                <w:noProof/>
                <w:sz w:val="16"/>
                <w:szCs w:val="16"/>
              </w:rPr>
              <w:t>MFE/MEN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CO24</w:t>
            </w:r>
          </w:p>
        </w:tc>
        <w:tc>
          <w:tcPr>
            <w:shd w:val="clear" w:color="auto" w:fill="auto"/>
          </w:tcPr>
          <w:p w:rsidR="008D5009" w:rsidRPr="00870D13" w:rsidP="00426349">
            <w:pPr>
              <w:spacing w:before="0" w:after="0"/>
              <w:rPr>
                <w:color w:val="000000"/>
                <w:sz w:val="16"/>
                <w:szCs w:val="16"/>
              </w:rPr>
            </w:pPr>
            <w:r>
              <w:rPr>
                <w:noProof/>
                <w:color w:val="000000"/>
                <w:sz w:val="16"/>
                <w:szCs w:val="16"/>
              </w:rPr>
              <w:t>Research, innovation: Number of new researchers in supported entities</w:t>
            </w:r>
          </w:p>
        </w:tc>
        <w:tc>
          <w:tcPr>
            <w:shd w:val="clear" w:color="auto" w:fill="auto"/>
          </w:tcPr>
          <w:p w:rsidR="008D5009" w:rsidRPr="00870D13" w:rsidP="00426349">
            <w:pPr>
              <w:spacing w:before="0" w:after="0"/>
              <w:rPr>
                <w:color w:val="000000"/>
                <w:sz w:val="16"/>
                <w:szCs w:val="16"/>
              </w:rPr>
            </w:pPr>
            <w:r>
              <w:rPr>
                <w:noProof/>
                <w:color w:val="000000"/>
                <w:sz w:val="16"/>
                <w:szCs w:val="16"/>
              </w:rPr>
              <w:t>Full time equivalents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154.50</w:t>
            </w:r>
          </w:p>
        </w:tc>
        <w:tc>
          <w:tcPr>
            <w:shd w:val="clear" w:color="auto" w:fill="auto"/>
          </w:tcPr>
          <w:p w:rsidR="008D5009" w:rsidRPr="00870D13" w:rsidP="00426349">
            <w:pPr>
              <w:spacing w:before="0" w:after="0"/>
              <w:rPr>
                <w:color w:val="000000"/>
                <w:sz w:val="16"/>
                <w:szCs w:val="16"/>
              </w:rPr>
            </w:pPr>
            <w:r w:rsidRPr="00870D13">
              <w:rPr>
                <w:noProof/>
                <w:sz w:val="16"/>
                <w:szCs w:val="16"/>
              </w:rPr>
              <w:t>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CO25</w:t>
            </w:r>
          </w:p>
        </w:tc>
        <w:tc>
          <w:tcPr>
            <w:shd w:val="clear" w:color="auto" w:fill="auto"/>
          </w:tcPr>
          <w:p w:rsidR="008D5009" w:rsidRPr="00870D13" w:rsidP="00426349">
            <w:pPr>
              <w:spacing w:before="0" w:after="0"/>
              <w:rPr>
                <w:color w:val="000000"/>
                <w:sz w:val="16"/>
                <w:szCs w:val="16"/>
              </w:rPr>
            </w:pPr>
            <w:r>
              <w:rPr>
                <w:noProof/>
                <w:color w:val="000000"/>
                <w:sz w:val="16"/>
                <w:szCs w:val="16"/>
              </w:rPr>
              <w:t>Research, Innovation: Number of researchers working in improved research infrastructure facilities</w:t>
            </w:r>
          </w:p>
        </w:tc>
        <w:tc>
          <w:tcPr>
            <w:shd w:val="clear" w:color="auto" w:fill="auto"/>
          </w:tcPr>
          <w:p w:rsidR="008D5009" w:rsidRPr="00870D13" w:rsidP="00426349">
            <w:pPr>
              <w:spacing w:before="0" w:after="0"/>
              <w:rPr>
                <w:color w:val="000000"/>
                <w:sz w:val="16"/>
                <w:szCs w:val="16"/>
              </w:rPr>
            </w:pPr>
            <w:r>
              <w:rPr>
                <w:noProof/>
                <w:color w:val="000000"/>
                <w:sz w:val="16"/>
                <w:szCs w:val="16"/>
              </w:rPr>
              <w:t>Full time equivalents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217.95</w:t>
            </w:r>
          </w:p>
        </w:tc>
        <w:tc>
          <w:tcPr>
            <w:shd w:val="clear" w:color="auto" w:fill="auto"/>
          </w:tcPr>
          <w:p w:rsidR="008D5009" w:rsidRPr="00870D13" w:rsidP="00426349">
            <w:pPr>
              <w:spacing w:before="0" w:after="0"/>
              <w:rPr>
                <w:color w:val="000000"/>
                <w:sz w:val="16"/>
                <w:szCs w:val="16"/>
              </w:rPr>
            </w:pPr>
            <w:r w:rsidRPr="00870D13">
              <w:rPr>
                <w:noProof/>
                <w:sz w:val="16"/>
                <w:szCs w:val="16"/>
              </w:rPr>
              <w:t>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CO27</w:t>
            </w:r>
          </w:p>
        </w:tc>
        <w:tc>
          <w:tcPr>
            <w:shd w:val="clear" w:color="auto" w:fill="auto"/>
          </w:tcPr>
          <w:p w:rsidR="008D5009" w:rsidRPr="00870D13" w:rsidP="00426349">
            <w:pPr>
              <w:spacing w:before="0" w:after="0"/>
              <w:rPr>
                <w:color w:val="000000"/>
                <w:sz w:val="16"/>
                <w:szCs w:val="16"/>
              </w:rPr>
            </w:pPr>
            <w:r>
              <w:rPr>
                <w:noProof/>
                <w:color w:val="000000"/>
                <w:sz w:val="16"/>
                <w:szCs w:val="16"/>
              </w:rPr>
              <w:t>Research, Innovation: Private investment matching public support in innovation or R&amp;D projects</w:t>
            </w:r>
          </w:p>
        </w:tc>
        <w:tc>
          <w:tcPr>
            <w:shd w:val="clear" w:color="auto" w:fill="auto"/>
          </w:tcPr>
          <w:p w:rsidR="008D5009" w:rsidRPr="00870D13" w:rsidP="00426349">
            <w:pPr>
              <w:spacing w:before="0" w:after="0"/>
              <w:rPr>
                <w:color w:val="000000"/>
                <w:sz w:val="16"/>
                <w:szCs w:val="16"/>
              </w:rPr>
            </w:pPr>
            <w:r>
              <w:rPr>
                <w:noProof/>
                <w:color w:val="000000"/>
                <w:sz w:val="16"/>
                <w:szCs w:val="16"/>
              </w:rPr>
              <w:t>EUR</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7,890,000.00</w:t>
            </w:r>
          </w:p>
        </w:tc>
        <w:tc>
          <w:tcPr>
            <w:shd w:val="clear" w:color="auto" w:fill="auto"/>
          </w:tcPr>
          <w:p w:rsidR="008D5009" w:rsidRPr="00870D13" w:rsidP="00426349">
            <w:pPr>
              <w:spacing w:before="0" w:after="0"/>
              <w:rPr>
                <w:color w:val="000000"/>
                <w:sz w:val="16"/>
                <w:szCs w:val="16"/>
              </w:rPr>
            </w:pPr>
            <w:r w:rsidRPr="00870D13">
              <w:rPr>
                <w:noProof/>
                <w:sz w:val="16"/>
                <w:szCs w:val="16"/>
              </w:rPr>
              <w:t>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bl>
    <w:p w:rsidR="008D5009" w:rsidP="008D5009">
      <w:pPr>
        <w:pStyle w:val="Text1"/>
        <w:spacing w:before="0" w:after="0"/>
        <w:rPr>
          <w:i/>
        </w:rPr>
      </w:pPr>
    </w:p>
    <w:p w:rsidR="008D5009" w:rsidP="008D5009">
      <w:pPr>
        <w:pStyle w:val="ManualHeading2"/>
        <w:spacing w:before="0" w:after="0"/>
        <w:rPr>
          <w:sz w:val="20"/>
          <w:szCs w:val="20"/>
        </w:rPr>
      </w:pPr>
      <w:bookmarkStart w:id="51" w:name="_Toc256000024"/>
      <w:r>
        <w:rPr>
          <w:noProof/>
        </w:rPr>
        <w:t>2.A.4 Investment priority</w:t>
      </w:r>
      <w:bookmarkEnd w:id="51"/>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6"/>
        <w:gridCol w:w="1369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 of the investment priority</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1b</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Title of the investment priority</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p>
        </w:tc>
      </w:tr>
    </w:tbl>
    <w:p w:rsidR="008D5009" w:rsidP="008D5009">
      <w:pPr>
        <w:spacing w:before="0" w:after="0"/>
        <w:rPr>
          <w:sz w:val="22"/>
          <w:szCs w:val="22"/>
        </w:rPr>
      </w:pPr>
    </w:p>
    <w:p w:rsidR="008D5009" w:rsidRPr="00603402" w:rsidP="008D5009">
      <w:pPr>
        <w:pStyle w:val="ManualHeading2"/>
        <w:keepLines/>
        <w:spacing w:before="0" w:after="0"/>
      </w:pPr>
      <w:bookmarkStart w:id="52" w:name="_Toc256000025"/>
      <w:r>
        <w:rPr>
          <w:noProof/>
        </w:rPr>
        <w:t>2.A.5 Specific objectives corresponding to the investment priority and expected results</w:t>
      </w:r>
      <w:bookmarkEnd w:id="5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98"/>
        <w:gridCol w:w="10676"/>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 of the specific objective</w:t>
            </w:r>
          </w:p>
        </w:tc>
        <w:tc>
          <w:tcPr>
            <w:shd w:val="clear" w:color="auto" w:fill="auto"/>
          </w:tcPr>
          <w:p w:rsidR="008D5009" w:rsidRPr="00D6078B" w:rsidP="00426349">
            <w:pPr>
              <w:pStyle w:val="Text1"/>
              <w:spacing w:before="0" w:after="0"/>
              <w:ind w:left="0"/>
              <w:rPr>
                <w:b/>
                <w:sz w:val="18"/>
                <w:szCs w:val="18"/>
              </w:rPr>
            </w:pPr>
            <w:r>
              <w:rPr>
                <w:noProof/>
                <w:sz w:val="18"/>
                <w:szCs w:val="18"/>
              </w:rPr>
              <w:t>OS1.3</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Title of the specific objective</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Creșterea investiţiilor private în CDI</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Results that the Member States seek to achieve with Union support</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Creșterea cheltuielilor sectorului privat pentru CDI</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 of the specific objective</w:t>
            </w:r>
          </w:p>
        </w:tc>
        <w:tc>
          <w:tcPr>
            <w:shd w:val="clear" w:color="auto" w:fill="auto"/>
          </w:tcPr>
          <w:p w:rsidR="008D5009" w:rsidRPr="00D6078B" w:rsidP="00426349">
            <w:pPr>
              <w:pStyle w:val="Text1"/>
              <w:spacing w:before="0" w:after="0"/>
              <w:ind w:left="0"/>
              <w:rPr>
                <w:b/>
                <w:sz w:val="18"/>
                <w:szCs w:val="18"/>
              </w:rPr>
            </w:pPr>
            <w:r>
              <w:rPr>
                <w:noProof/>
                <w:sz w:val="18"/>
                <w:szCs w:val="18"/>
              </w:rPr>
              <w:t>OS1.4</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Title of the specific objective</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Creșterea transferului de cunoștințe, tehnologie și personal cu competențe CDI între mediul public de cercetare și cel privat</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Results that the Member States seek to achieve with Union support</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Creșterea numărului de IMM-uri care accesează rezultatele și resursele organizațiilor de cercetare pentru îmbunătățirea produselor și serviciilor</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Table 3: Programme-specific result indicators, by specific objective</w:t>
      </w:r>
      <w:r>
        <w:rPr>
          <w:color w:val="000000"/>
        </w:rPr>
        <w:t xml:space="preserve"> </w:t>
      </w:r>
      <w:r>
        <w:rPr>
          <w:noProof/>
          <w:color w:val="000000"/>
        </w:rPr>
        <w:t>(for the ERDF and the Cohesion Fund)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
        <w:gridCol w:w="3084"/>
        <w:gridCol w:w="1453"/>
        <w:gridCol w:w="2608"/>
        <w:gridCol w:w="1177"/>
        <w:gridCol w:w="1116"/>
        <w:gridCol w:w="1527"/>
        <w:gridCol w:w="1618"/>
        <w:gridCol w:w="177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Specific objective</w:t>
            </w:r>
          </w:p>
        </w:tc>
        <w:tc>
          <w:tcPr>
            <w:gridSpan w:val="7"/>
            <w:shd w:val="clear" w:color="auto" w:fill="auto"/>
          </w:tcPr>
          <w:p w:rsidR="008D5009" w:rsidRPr="00D6078B" w:rsidP="00426349">
            <w:pPr>
              <w:spacing w:before="0" w:after="0"/>
              <w:rPr>
                <w:b/>
                <w:sz w:val="18"/>
                <w:szCs w:val="18"/>
              </w:rPr>
            </w:pPr>
            <w:r>
              <w:rPr>
                <w:b/>
                <w:noProof/>
                <w:sz w:val="18"/>
                <w:szCs w:val="18"/>
              </w:rPr>
              <w:t xml:space="preserve">OS1.3 - </w:t>
            </w:r>
            <w:r>
              <w:rPr>
                <w:b/>
                <w:noProof/>
                <w:sz w:val="18"/>
                <w:szCs w:val="18"/>
              </w:rPr>
              <w:t>Creșterea investiţiilor private în CDI</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w:t>
            </w:r>
          </w:p>
        </w:tc>
        <w:tc>
          <w:tcPr>
            <w:shd w:val="clear" w:color="auto" w:fill="auto"/>
          </w:tcPr>
          <w:p w:rsidR="008D5009" w:rsidRPr="00530EF1" w:rsidP="00426349">
            <w:pPr>
              <w:spacing w:before="0" w:after="0"/>
              <w:jc w:val="center"/>
              <w:rPr>
                <w:b/>
                <w:sz w:val="16"/>
                <w:szCs w:val="16"/>
              </w:rPr>
            </w:pPr>
            <w:r>
              <w:rPr>
                <w:b/>
                <w:noProof/>
                <w:color w:val="000000"/>
                <w:sz w:val="16"/>
                <w:szCs w:val="16"/>
              </w:rPr>
              <w:t>Indicator</w:t>
            </w:r>
          </w:p>
        </w:tc>
        <w:tc>
          <w:tcPr>
            <w:shd w:val="clear" w:color="auto" w:fill="auto"/>
          </w:tcPr>
          <w:p w:rsidR="008D5009" w:rsidRPr="00913A1A" w:rsidP="00426349">
            <w:pPr>
              <w:spacing w:before="0" w:after="0"/>
              <w:jc w:val="center"/>
              <w:rPr>
                <w:b/>
                <w:sz w:val="16"/>
                <w:szCs w:val="16"/>
              </w:rPr>
            </w:pPr>
            <w:r>
              <w:rPr>
                <w:b/>
                <w:noProof/>
                <w:color w:val="000000"/>
                <w:sz w:val="16"/>
                <w:szCs w:val="16"/>
              </w:rPr>
              <w:t>Measurement unit</w:t>
            </w:r>
          </w:p>
        </w:tc>
        <w:tc>
          <w:tcPr/>
          <w:p w:rsidR="008D5009" w:rsidRPr="007B722E" w:rsidP="00426349">
            <w:pPr>
              <w:spacing w:before="0" w:after="0"/>
              <w:jc w:val="center"/>
              <w:rPr>
                <w:b/>
                <w:color w:val="000000"/>
                <w:sz w:val="16"/>
                <w:szCs w:val="16"/>
              </w:rPr>
            </w:pPr>
            <w:r>
              <w:rPr>
                <w:b/>
                <w:noProof/>
                <w:color w:val="000000"/>
                <w:sz w:val="16"/>
                <w:szCs w:val="16"/>
              </w:rPr>
              <w:t>Category of region (where relevant)</w:t>
            </w:r>
          </w:p>
        </w:tc>
        <w:tc>
          <w:tcPr>
            <w:shd w:val="clear" w:color="auto" w:fill="auto"/>
          </w:tcPr>
          <w:p w:rsidR="008D5009" w:rsidRPr="007B722E" w:rsidP="00426349">
            <w:pPr>
              <w:spacing w:before="0" w:after="0"/>
              <w:jc w:val="center"/>
              <w:rPr>
                <w:b/>
                <w:sz w:val="16"/>
                <w:szCs w:val="16"/>
              </w:rPr>
            </w:pPr>
            <w:r>
              <w:rPr>
                <w:b/>
                <w:noProof/>
                <w:color w:val="000000"/>
                <w:sz w:val="16"/>
                <w:szCs w:val="16"/>
              </w:rPr>
              <w:t>Baseline value</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Baseline year</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Target value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Source of data</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Frequency of reporting</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3S3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Cheltuieli private de CDI ca procent din BERD</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 BERD</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66.29</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Eurostat Anuar Statistic</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Anual</w:t>
            </w:r>
          </w:p>
        </w:tc>
      </w:tr>
    </w:tbl>
    <w:p w:rsidR="008D5009" w:rsidP="008D5009">
      <w:pPr>
        <w:spacing w:before="0" w:after="0"/>
        <w:rPr>
          <w:b/>
          <w:lang w:val="pt-PT"/>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
        <w:gridCol w:w="2886"/>
        <w:gridCol w:w="1433"/>
        <w:gridCol w:w="2570"/>
        <w:gridCol w:w="1160"/>
        <w:gridCol w:w="1100"/>
        <w:gridCol w:w="1505"/>
        <w:gridCol w:w="1953"/>
        <w:gridCol w:w="175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Specific objective</w:t>
            </w:r>
          </w:p>
        </w:tc>
        <w:tc>
          <w:tcPr>
            <w:gridSpan w:val="7"/>
            <w:shd w:val="clear" w:color="auto" w:fill="auto"/>
          </w:tcPr>
          <w:p w:rsidR="008D5009" w:rsidRPr="00D6078B" w:rsidP="00426349">
            <w:pPr>
              <w:spacing w:before="0" w:after="0"/>
              <w:rPr>
                <w:b/>
                <w:sz w:val="18"/>
                <w:szCs w:val="18"/>
              </w:rPr>
            </w:pPr>
            <w:r>
              <w:rPr>
                <w:b/>
                <w:noProof/>
                <w:sz w:val="18"/>
                <w:szCs w:val="18"/>
              </w:rPr>
              <w:t xml:space="preserve">OS1.4 - </w:t>
            </w:r>
            <w:r>
              <w:rPr>
                <w:b/>
                <w:noProof/>
                <w:sz w:val="18"/>
                <w:szCs w:val="18"/>
              </w:rPr>
              <w:t>Creșterea transferului de cunoștințe, tehnologie și personal cu competențe CDI între mediul public de cercetare și cel privat</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w:t>
            </w:r>
          </w:p>
        </w:tc>
        <w:tc>
          <w:tcPr>
            <w:shd w:val="clear" w:color="auto" w:fill="auto"/>
          </w:tcPr>
          <w:p w:rsidR="008D5009" w:rsidRPr="00530EF1" w:rsidP="00426349">
            <w:pPr>
              <w:spacing w:before="0" w:after="0"/>
              <w:jc w:val="center"/>
              <w:rPr>
                <w:b/>
                <w:sz w:val="16"/>
                <w:szCs w:val="16"/>
              </w:rPr>
            </w:pPr>
            <w:r>
              <w:rPr>
                <w:b/>
                <w:noProof/>
                <w:color w:val="000000"/>
                <w:sz w:val="16"/>
                <w:szCs w:val="16"/>
              </w:rPr>
              <w:t>Indicator</w:t>
            </w:r>
          </w:p>
        </w:tc>
        <w:tc>
          <w:tcPr>
            <w:shd w:val="clear" w:color="auto" w:fill="auto"/>
          </w:tcPr>
          <w:p w:rsidR="008D5009" w:rsidRPr="00913A1A" w:rsidP="00426349">
            <w:pPr>
              <w:spacing w:before="0" w:after="0"/>
              <w:jc w:val="center"/>
              <w:rPr>
                <w:b/>
                <w:sz w:val="16"/>
                <w:szCs w:val="16"/>
              </w:rPr>
            </w:pPr>
            <w:r>
              <w:rPr>
                <w:b/>
                <w:noProof/>
                <w:color w:val="000000"/>
                <w:sz w:val="16"/>
                <w:szCs w:val="16"/>
              </w:rPr>
              <w:t>Measurement unit</w:t>
            </w:r>
          </w:p>
        </w:tc>
        <w:tc>
          <w:tcPr/>
          <w:p w:rsidR="008D5009" w:rsidRPr="007B722E" w:rsidP="00426349">
            <w:pPr>
              <w:spacing w:before="0" w:after="0"/>
              <w:jc w:val="center"/>
              <w:rPr>
                <w:b/>
                <w:color w:val="000000"/>
                <w:sz w:val="16"/>
                <w:szCs w:val="16"/>
              </w:rPr>
            </w:pPr>
            <w:r>
              <w:rPr>
                <w:b/>
                <w:noProof/>
                <w:color w:val="000000"/>
                <w:sz w:val="16"/>
                <w:szCs w:val="16"/>
              </w:rPr>
              <w:t>Category of region (where relevant)</w:t>
            </w:r>
          </w:p>
        </w:tc>
        <w:tc>
          <w:tcPr>
            <w:shd w:val="clear" w:color="auto" w:fill="auto"/>
          </w:tcPr>
          <w:p w:rsidR="008D5009" w:rsidRPr="007B722E" w:rsidP="00426349">
            <w:pPr>
              <w:spacing w:before="0" w:after="0"/>
              <w:jc w:val="center"/>
              <w:rPr>
                <w:b/>
                <w:sz w:val="16"/>
                <w:szCs w:val="16"/>
              </w:rPr>
            </w:pPr>
            <w:r>
              <w:rPr>
                <w:b/>
                <w:noProof/>
                <w:color w:val="000000"/>
                <w:sz w:val="16"/>
                <w:szCs w:val="16"/>
              </w:rPr>
              <w:t>Baseline value</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Baseline year</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Target value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Source of data</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Frequency of reporting</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3S4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IMM-uri innovative care colaborează cu alții</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 IMM</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2.90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6.60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Innovation Union Scoreboard</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Anual</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53" w:name="_Toc256000026"/>
      <w:r>
        <w:rPr>
          <w:noProof/>
        </w:rPr>
        <w:t>2.A.6 Action to be supported under the investment priority</w:t>
      </w:r>
      <w:r>
        <w:rPr>
          <w:b w:val="0"/>
        </w:rPr>
        <w:t xml:space="preserve"> </w:t>
      </w:r>
      <w:r>
        <w:rPr>
          <w:b w:val="0"/>
          <w:noProof/>
        </w:rPr>
        <w:t>(by investment priority)</w:t>
      </w:r>
      <w:bookmarkEnd w:id="53"/>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54" w:name="_Toc256000027"/>
      <w:r w:rsidRPr="0076169B">
        <w:rPr>
          <w:b/>
          <w:noProof/>
        </w:rPr>
        <w:t>2.A.6.1 Description of the type and examples of actions to be supported and their expected contribution to the specific objectives including, where appropriate, the identification of main target groups, specific territories targeted and types of beneficiaries</w:t>
      </w:r>
      <w:bookmarkEnd w:id="5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1367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Investment priority</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1b - </w:t>
            </w:r>
            <w:r w:rsidRPr="0012385C">
              <w:rPr>
                <w:noProof/>
                <w:sz w:val="18"/>
                <w:szCs w:val="18"/>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b/>
                <w:bCs/>
                <w:u w:val="single"/>
              </w:rPr>
              <w:t>Acțiune 1.2.1: Stimularea cererii întreprinderilor pentru inovare prin proiecte de CDI derulate de întreprinderi individual sau în parteneriat cu institutele de CD și universități, în scopul inovării de procese și de produse în sectoarele economice care prezintă potențial de creștere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se adresează obiectivului specific ”Creșterea investiţiilor private în CDI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Această acțiune are ca scop încurajarea investițiilor private în CDI, prin creșterea numărului de întreprinderi care urmăresc introducerea inovării în activitatea proprie prin proiecte care dezvoltă produse şi/sau procese noi sau substanţial îmbunătăţite în scopul producţiei şi comercializării, bazate pe cercetare sau pe drepturi de proprietate industrială.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Componenta de activitate de cercetare din cadrul proiectului poate fi realizată de întreprindere direct sau printr-un parteneriat cu o instituție publică de CDI sau poate fi achiziționată ca un serviciu de cercetare de pe piață (cf. punctului 2.2.1 din Cadrul pentru ajutoarele de stat pentru CDI, C198/2014).</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Întreprinderile sprijinite vor fi selectate pe baza unei analize a planurilor lor de afaceri.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Atingerea rezultatelor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Exemple de tipuri de proiecte care se pot finanţa în cadrul acestei acțiuni:</w:t>
            </w:r>
          </w:p>
          <w:p>
            <w:pPr>
              <w:numPr>
                <w:ilvl w:val="0"/>
                <w:numId w:val="10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proiecte tehnologice inovative, prin care se va realiza o inovare de produs (atât pentru bunuri cât şi pentru servicii), sau de proces bazată pe exploatarea şi utilizarea cunoştinţelor ştiinţifice şi tehnologice sau pe baza drepturilor de proprietate industrială, proprie sau achiziționată. Activitățile pe care le poate parcurge un astfel de proiect: cercetare industrială, dezvoltare experimentală, activtăți de inovare și introducere rezultatelor de CD în producție.</w:t>
            </w:r>
          </w:p>
          <w:p>
            <w:pPr>
              <w:numPr>
                <w:ilvl w:val="0"/>
                <w:numId w:val="10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proiecte pentru întreprinderi inovatoare de tip start-up şi spin-off;</w:t>
            </w:r>
          </w:p>
          <w:p>
            <w:pPr>
              <w:numPr>
                <w:ilvl w:val="0"/>
                <w:numId w:val="10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proiecte pentru întreprinderi nou-înființate inovatoare care vizează inovare de produs sau de proces.</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Beneficiari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se adresează cu precădere următoarelor categorii de solicitanți:</w:t>
            </w:r>
          </w:p>
          <w:p>
            <w:pPr>
              <w:numPr>
                <w:ilvl w:val="0"/>
                <w:numId w:val="10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Întreprinderile mari, mijlocii sau mici pentru care activitatea de CD nu constituie obiectul principal de activitate. Activitatea de CD poate să nu existe în obiectul de activitate al întreprinderii</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Spin-off-uri: întreprinderi care urmează să se înfiinţeze pe baza unui rezultat obţinut dintr-un proiect de cercetare al unei organizaţii de cercetare de drept public (instituţie de CD sau de învăţământ superior). Prin această acţiune se vor finanţa proiectele de tip „spin-off” care asigură unui cercetător sau unui grup de cercetători posibilitatea să se desprindă din instituţia publică, unde a dezvoltat un proiect de cercetare şi a obţinut un rezultat, în scopul continuării în cadrul firmei proprii a soluţiei cercetate până la finalizarea ei, în vederea producerii şi comercializării rezultatelor pe piaţă</w:t>
            </w:r>
          </w:p>
          <w:p>
            <w:pPr>
              <w:numPr>
                <w:ilvl w:val="0"/>
                <w:numId w:val="10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Start-up-uri inovatoare: întreprinderi care înregistrează o vechime de maximum 3 ani în anul depunerii proiectului şi au un plan de afaceri bazat pe un rezultat CD sau un drept de proprietate industrial</w:t>
            </w:r>
          </w:p>
          <w:p>
            <w:pPr>
              <w:numPr>
                <w:ilvl w:val="0"/>
                <w:numId w:val="10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Întreprinderi nou-înființate inovatoare (definite conform Reg. de exceptare in bloc de la notificare Nr.651/2014 art.22, alin.(2), combinat cu art. 2, alin.(80)).</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Teritoriul acoperit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acoperă întreg teritoriul național.</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u w:val="single"/>
              </w:rPr>
              <w:t>Acțiune 1.2.2: Instrumente de creditare și măsuri de capital de risc în favoarea IMM-urilor inovative și a organizațiilor de cercetare care răspund cererilor de piață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se adresează  obiectivului specific “Creșterea investiţiilor private în CDI”.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Tipuri de acţiuni/intervenţii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Absența surselor de finanţare este una dintre problemele importante ale IMM-urilor din România, în mod special a celor inovative. Dezvoltarea IMM-urilor depinde de împrumuturile bancare, iar restricțiile de pe piața bancară au un efect disproporționat asupra acestora. POC va susține accesul la creditare în condiţii mai favorabile inclusive prin garanții, subvenții de dobândă și facilitarea accesului la capital de risc al întreprinderilor inovative.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Instrumentele de creditare (garanții sau împrumuturi cu dobândă subvenționată și partajarea riscului) vor permite IMM-urilor inovatoare să acceseze finanțare în condiții financiare accesibile, reducând necesarul de garanții suplimentare sau oferind credite cu un nivel mai scăzut al ratei dobânzii. Prin posibilitatea combinării instrumentelor financiare cu granturi, se poate obține și un efect de pârghie semnificativ al utilizării fondurilor UE.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Evaluarea ex-ante elaborată, în conformitate cu art.37 din Regulamentul (UE) nr.1303/2013, va identifica deficiențele pieței sau situațiile de investiții sub nivelul optim, va furniza informații privind instrumentele financiare cele mai potrivite pentru redresarea eșecului de piață identificat, potențialii beneficiari finali. Modalitatea de implementare și alocarea necesară vor fi stabilite ca urmare a recomandărilor acestei evaluări.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Atingerea rezultatelor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Evaluarea ex-ante care este în curs de elaborare, în conformitate cu art.37 din Regulamentul (UE) nr.1303/2013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Beneficiari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Conform evaluării ex-ante în conformitate cu art.37 din Regulamentul (UE) nr.1303/2013</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Teritoriul acoperit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acoperă întreg teritoriul național.</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u w:val="single"/>
              </w:rPr>
              <w:t>Acțiune 1.2.3: Parteneriate pentru transfer de cunoştinţe (Knowledge Transfer Partnerships)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se adresează obiectivului specific “Creșterea transferului de cunoștințe, tehnologie și personal cu competențe CDI între mediul public şi cel privat”.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Tipuri de acţiuni/intervenţii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Această acţiune urmărește să încurajeze interacțiunea instituţiilor de învăţământ superior şi a instituțiilor de CD cu mediul de afaceri, prin finanțarea accesului întreprinderilor la expertiza extinsă și la facilitățile organizațiilor de cercetare, pentru ca întreprinderile să-și dezvolte afacerile cerute de piață. În acest scop, se vor constitui parteneriate între organizațiile de cercetare și întreprinderi/grupuri de întreprinderi interesate să obțină cunoștințe, inclusiv abilități și competențe care vor răspunde nevoilor strategice de dezvoltare ale întreprinderilor și vor oferi soluții inovative pentru obținerea de produse şi procese, tehnologii noi/ îmbunătăţite identificate de întreprinderi ca fiind cerute de piață.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acelasi timp se urmărește valorificarea potenţialului infrastructurilor de CD existente, dezvoltate sau modernizate și a resurselor care pot servi nevoilor de inovare ale întreprinderilor în scopul creșterii valorii adăugate a sectoarelor competitive sau cu potențial de creștere.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Atingerea rezultatelor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Proiectele se vor constitui printr-un acord de parteneriat între organizația de cercetare și întreprindere prin care se stabilesc modalitățile de sprijin acordat prin activități specifice de cercetare-dezvoltare și inovare, inclusiv prin activități de transfer tehnologic, ca răspuns la nevoile și cerințele întreprinderilor identificate în piață.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Întreprinderile vor avea acces la un portofoliu de activități de cercetare, inovare și transfer tehnologic care se pot grupa în trei categorii principale astfel: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transfer de cunoștințe prin:</w:t>
            </w:r>
          </w:p>
          <w:p>
            <w:pPr>
              <w:numPr>
                <w:ilvl w:val="0"/>
                <w:numId w:val="10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asistență directă pentru a ajuta întreprinderile, inclusiv acele întreprinderi care nu au mai avut activități de colaborare cu organizația de cercetare, să identifice din oferta de expertiză  disponibilă a organizației de cercetare ce se potrivește cu nevoile și cerințele afacerilor pe care doresc să le dezvolte și care sunt posibilitățile concrete de sprijin din partea organizației de cercetare;</w:t>
            </w:r>
          </w:p>
          <w:p>
            <w:pPr>
              <w:numPr>
                <w:ilvl w:val="0"/>
                <w:numId w:val="10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evenimente tematice regulate pentru a furniza idei de proiecte întreprinderilor care au fost implicate în proiecte de dezvoltare, inovare cu organizația de cercetare, la care participă ca invitați membri din echipele academice (profesori/cercetători) care conduc activități de cercetare în colaborare cu industria;</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 accesul întreprinderilor la facilitățile, instalațiile, echipamentele de cercetare</w:t>
            </w:r>
            <w:r>
              <w:rPr>
                <w:rFonts w:ascii="Times New Roman" w:eastAsia="Times New Roman" w:hAnsi="Times New Roman" w:cs="Times New Roman"/>
              </w:rPr>
              <w:t xml:space="preserve"> ale organizației de cercetare în scopul realizării unor testări, experimente necesare pentru dezvoltarea unor produse/tehnologii/metode noi sau îmbunătățite.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i/>
                <w:iCs/>
              </w:rPr>
              <w:t>activități în parteneriat</w:t>
            </w:r>
            <w:r>
              <w:rPr>
                <w:rFonts w:ascii="Times New Roman" w:eastAsia="Times New Roman" w:hAnsi="Times New Roman" w:cs="Times New Roman"/>
              </w:rPr>
              <w:t xml:space="preserve"> (servicii de CDI sau colaborare oferite de organizația de cercetare) de durate a căror lungime variază de la consultanță pe termen scurt pînă la proiecte de CD colaborative sau executate la cererea întreprinderilor, inclusiv detașare de personal specializat dinspre organizația de cercetare spre întreprindere.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Beneficiari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Organizaţiile de cercetare (instituţii de CD şi de învăţământ superior) a căror activitate are potenţial de comercializare sunt beneficiarii proiectului (aplicanții), iar întreprinderile care accesează oferta acestor organizații sunt beneficiarii efectivi ai activităților proiectului.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Teritoriul acoperit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acoperă întreg teritoriul național.</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55" w:name="_Toc256000028"/>
      <w:r>
        <w:rPr>
          <w:b/>
          <w:noProof/>
          <w:color w:val="000000"/>
        </w:rPr>
        <w:t>2.A.6.2 Guiding principles for selection of operations</w:t>
      </w:r>
      <w:bookmarkEnd w:id="5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1367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Investment priority</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1b - </w:t>
            </w:r>
            <w:r w:rsidRPr="00C23AD8">
              <w:rPr>
                <w:noProof/>
                <w:color w:val="000000"/>
                <w:sz w:val="18"/>
                <w:szCs w:val="18"/>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Măsurile strategice şi acţiunile necesare în domeniul CDI sunt fundamentate în SNCDI, în direcțiile de acţiune ale acesteia şi în proiectul SNC.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Selectarea şi finanţarea operaţiunilor depuse în cadrul AP1 vor avea în vedere:</w:t>
            </w:r>
          </w:p>
          <w:p>
            <w:pPr>
              <w:numPr>
                <w:ilvl w:val="0"/>
                <w:numId w:val="10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Creșterea numărului de firme inovatoare, deoarece la nivelul UE suntem o economie de tip inovator moderat. Performanța în domeniul inovării comparativă cu nivelul UE a crescut până în 2009, după care s-a înrăutățit, de la 50% în 2009 la 43% în 2013 (IUS 2014)</w:t>
            </w:r>
          </w:p>
          <w:p>
            <w:pPr>
              <w:numPr>
                <w:ilvl w:val="0"/>
                <w:numId w:val="10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Asigurarea de surse diversificate de finanțare pentru activități de CDI pentru IMM-uri, ca urmare a lipsei capitalurilor de risc în general și, în special, pentru firmele inovatoare bazate pe cercetare</w:t>
            </w:r>
          </w:p>
          <w:p>
            <w:pPr>
              <w:numPr>
                <w:ilvl w:val="0"/>
                <w:numId w:val="10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Intensificarea legăturilor între cercetarea publică și mediul economic pentru valorificarea rezultatelor de CD, în vederea introducerii inovării și creșterii competitivității companiilor.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Vor fi încurajate parteneriatele încheiate între companiile private și organisme publice sau private din domeniul cercetării, în vederea transferului rezultatelor în circuitul economic, respectiv consolidarea tuturor verigilor din lanţul inovării, de la cercetarea aplicativă la comercializarea efectivă a rezultatelor cercetării.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Evaluarea științifică și tehnică a propunerilor de proiecte se va face în baza procedeului de peer-review care este standardul pentru competițiile de proiecte CDI (folosind evaluatori externi, specialiști în domeniile științifice ale proiectului și, după caz, experți economico-financiari), și va utiliza trei categorii de criterii de evaluare generale: relevanța pentru inovare și impactul socio-economic al proiectului; calitatea și maturitatea proiectului și capacitatea de implementare; sustenabilitatea instituțională și financiară. Prin subcriteriile stabilite pe fiecare categorie de criterii se va diferenția specificitatea fiecărui tip de proiect.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 cazul acțiunii 1.2.1 nu este finanțată independent angajarea/detașarea temporară de personal cu înaltă calificare pentru a întări capacitatea de cercetare şi inovare a întreprinderilor ca proiect de sine stătător, ci numai ca tip de activitate eligibilă în cadrul uni proiect mai complex. Detasarea este un act punctual - un specialist se alătură pentru o perioada de timp limitată unui colectiv existent, pentru a sprijini activitatile unui proiect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 cazul actiunii 1.2.3 KTP, detașarea de personal specializat se face din cadrul instituției publice CD sau universitatii care oferă acces la un portofoliu de activități de cercetare, inovare și transfer tehnologic întreprinderilor, într-un anumit domeniu de specializare inteligentă sau sănătate. In cazul ERA Chairs, proiectul este selectat si contractat la nivel european și, dacă este cazul, prin AP1 sunt finanțate anumite cheltuieli eligibile (altele decât cele finanțate prin proiectul european), precum investitiile in infrastructură.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cadrul apelurilor de proiecte unde legatura cu sectoarele economice competitive identificate prin SNC 2014-2020 este relevantă, în procesul de selectie se va acorda prioritate proiectelor care au legatura cu aceste sectoare.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 asemenea, se va acorda prioritate acelor proiecte care vor promova cercetare in domeniile sustinute prin investitii din alte programe operationale, precum: tehnologii utilizate în promovarea eficientei energetice in cladiri, tehnologii vizand productia de energie regenerabila, cogenerare, monitorizare inteligenta a consumului de energie, transportul si distributia inteligenta de energie electrica si gaz, utilitizarea eficienta a resurselor, reciclarea si valorificarea deseurilor, solutii pentru decontaminarea siturilor poluate, reducerea consumului de energie/combustibili in transport, sisteme de siguranta si securitate in transport s.a.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Totodată, în cazul în care sprijinul FEDR este acordat unei întreprinderi mari, autoritatea de management sa va asigura că proiectul nu derivă din, sau nu implică delocalizarea unor activităţi similare dintr-un alt stat membru UE implicând o reducere substanțială de locuri de muncă.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Autoritatea de Management se va asigura că sprijinul public (FEDR și fonduri publice naționale) acordat în cadrul acestui program respectă normele de procedură în materia ajutorului de stat aplicabile la momentul de timp când se acordă sprijinul public.</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Notă: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cadrul Acțiunii 1.2.3. se pot selecta la finanțare operațiuni (proiecte pilot) prin folosirea mecanismului necompetitiv, cu respectarea legislației naționale și europene în vigoare.</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56" w:name="_Toc256000029"/>
      <w:r>
        <w:rPr>
          <w:b/>
          <w:noProof/>
        </w:rPr>
        <w:t>2.A.6.3 Planned use of financial instruments</w:t>
      </w:r>
      <w:r>
        <w:rPr>
          <w:b/>
        </w:rPr>
        <w:t xml:space="preserve"> </w:t>
      </w:r>
      <w:r>
        <w:rPr>
          <w:i w:val="0"/>
          <w:noProof/>
        </w:rPr>
        <w:t>(where appropriate)</w:t>
      </w:r>
      <w:bookmarkEnd w:id="5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1367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Investment priority</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1b - </w:t>
            </w:r>
            <w:r w:rsidRPr="00420C06">
              <w:rPr>
                <w:noProof/>
                <w:sz w:val="18"/>
                <w:szCs w:val="18"/>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Instrumentele financiare vor fi implementate în cadrul acțiunii 1.2.2.</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conformitate cu prevederile art.37(2) ale Reg. general al FESI nr.1303/2013 s-a inițiat în colaborare cu Fondul European de Investiții o evaluare ex-ante a instrumentelor financiare prin care pot fi susținute acțiunile din cadrul AP1. În funcție de rezultatele acestei evaluări vor fi stabilite instrumentele financiare potrivite pentru redresarea eșecului de piață identificat, potențialii beneficiari finali, precum și modalitatea de implementare.</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57" w:name="_Toc256000030"/>
      <w:r w:rsidRPr="00164AE6">
        <w:rPr>
          <w:b/>
          <w:noProof/>
          <w:lang w:val="fr-BE"/>
        </w:rPr>
        <w:t>2.A.6.4 Planned use of major projects</w:t>
      </w:r>
      <w:r w:rsidRPr="00164AE6">
        <w:rPr>
          <w:i w:val="0"/>
          <w:lang w:val="fr-BE"/>
        </w:rPr>
        <w:t xml:space="preserve"> </w:t>
      </w:r>
      <w:r w:rsidRPr="00164AE6">
        <w:rPr>
          <w:i w:val="0"/>
          <w:noProof/>
          <w:lang w:val="fr-BE"/>
        </w:rPr>
        <w:t>(where appropriate)</w:t>
      </w:r>
      <w:bookmarkEnd w:id="5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1367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Investment priority</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1b - </w:t>
            </w:r>
            <w:r w:rsidRPr="00420C06">
              <w:rPr>
                <w:noProof/>
                <w:sz w:val="18"/>
                <w:szCs w:val="18"/>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i/>
                <w:iCs/>
              </w:rPr>
              <w:t>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58" w:name="_Toc256000031"/>
      <w:r>
        <w:rPr>
          <w:b/>
          <w:noProof/>
          <w:color w:val="000000"/>
        </w:rPr>
        <w:t>2.A.6.5 Output indicators by investment priority and, where appropriate by category of region</w:t>
      </w:r>
      <w:bookmarkEnd w:id="58"/>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Table 5: Common and programme-specific output indicators</w:t>
      </w:r>
      <w:r>
        <w:rPr>
          <w:color w:val="000000"/>
        </w:rPr>
        <w:t xml:space="preserve"> </w:t>
      </w:r>
      <w:r>
        <w:rPr>
          <w:noProof/>
          <w:color w:val="000000"/>
        </w:rPr>
        <w:t>(by investment priority, broken down by category of region for the ESF, and where relevant, for the ERDF)</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1563"/>
        <w:gridCol w:w="2019"/>
        <w:gridCol w:w="820"/>
        <w:gridCol w:w="3408"/>
        <w:gridCol w:w="492"/>
        <w:gridCol w:w="504"/>
        <w:gridCol w:w="1470"/>
        <w:gridCol w:w="1555"/>
        <w:gridCol w:w="232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59" w:name="_Toc256000032"/>
            <w:r>
              <w:rPr>
                <w:b/>
                <w:i w:val="0"/>
                <w:noProof/>
                <w:color w:val="000000"/>
                <w:sz w:val="16"/>
                <w:szCs w:val="16"/>
              </w:rPr>
              <w:t>Investment priority</w:t>
            </w:r>
            <w:bookmarkEnd w:id="59"/>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60" w:name="_Toc256000033"/>
            <w:r w:rsidRPr="005D6B15">
              <w:rPr>
                <w:b/>
                <w:i w:val="0"/>
                <w:noProof/>
                <w:color w:val="000000"/>
                <w:sz w:val="16"/>
                <w:szCs w:val="16"/>
              </w:rPr>
              <w:t xml:space="preserve">1b - </w:t>
            </w:r>
            <w:r w:rsidRPr="005D6B15">
              <w:rPr>
                <w:b/>
                <w:i w:val="0"/>
                <w:noProof/>
                <w:color w:val="000000"/>
                <w:sz w:val="16"/>
                <w:szCs w:val="16"/>
              </w:rPr>
              <w:t>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bookmarkEnd w:id="60"/>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Indicator</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Measurement unit</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Fund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Category of region (where relevant)</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Target value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Source of data</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Frequency of reporting</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W</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T</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Cereri de brevete rezultate din proiecte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Brevete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111.00</w:t>
            </w:r>
          </w:p>
        </w:tc>
        <w:tc>
          <w:tcPr>
            <w:shd w:val="clear" w:color="auto" w:fill="auto"/>
          </w:tcPr>
          <w:p w:rsidR="008D5009" w:rsidRPr="00870D13" w:rsidP="00426349">
            <w:pPr>
              <w:spacing w:before="0" w:after="0"/>
              <w:rPr>
                <w:color w:val="000000"/>
                <w:sz w:val="16"/>
                <w:szCs w:val="16"/>
              </w:rPr>
            </w:pPr>
            <w:r w:rsidRPr="00870D13">
              <w:rPr>
                <w:noProof/>
                <w:sz w:val="16"/>
                <w:szCs w:val="16"/>
              </w:rPr>
              <w:t>MFE/MEN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CO01</w:t>
            </w:r>
          </w:p>
        </w:tc>
        <w:tc>
          <w:tcPr>
            <w:shd w:val="clear" w:color="auto" w:fill="auto"/>
          </w:tcPr>
          <w:p w:rsidR="008D5009" w:rsidRPr="00870D13" w:rsidP="00426349">
            <w:pPr>
              <w:spacing w:before="0" w:after="0"/>
              <w:rPr>
                <w:color w:val="000000"/>
                <w:sz w:val="16"/>
                <w:szCs w:val="16"/>
              </w:rPr>
            </w:pPr>
            <w:r>
              <w:rPr>
                <w:noProof/>
                <w:color w:val="000000"/>
                <w:sz w:val="16"/>
                <w:szCs w:val="16"/>
              </w:rPr>
              <w:t>Productive investment: Number of enterprises receiving support</w:t>
            </w:r>
          </w:p>
        </w:tc>
        <w:tc>
          <w:tcPr>
            <w:shd w:val="clear" w:color="auto" w:fill="auto"/>
          </w:tcPr>
          <w:p w:rsidR="008D5009" w:rsidRPr="00870D13" w:rsidP="00426349">
            <w:pPr>
              <w:spacing w:before="0" w:after="0"/>
              <w:rPr>
                <w:color w:val="000000"/>
                <w:sz w:val="16"/>
                <w:szCs w:val="16"/>
              </w:rPr>
            </w:pPr>
            <w:r>
              <w:rPr>
                <w:noProof/>
                <w:color w:val="000000"/>
                <w:sz w:val="16"/>
                <w:szCs w:val="16"/>
              </w:rPr>
              <w:t>Enterprises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237.00</w:t>
            </w:r>
          </w:p>
        </w:tc>
        <w:tc>
          <w:tcPr>
            <w:shd w:val="clear" w:color="auto" w:fill="auto"/>
          </w:tcPr>
          <w:p w:rsidR="008D5009" w:rsidRPr="00870D13" w:rsidP="00426349">
            <w:pPr>
              <w:spacing w:before="0" w:after="0"/>
              <w:rPr>
                <w:color w:val="000000"/>
                <w:sz w:val="16"/>
                <w:szCs w:val="16"/>
              </w:rPr>
            </w:pPr>
            <w:r w:rsidRPr="00870D13">
              <w:rPr>
                <w:noProof/>
                <w:sz w:val="16"/>
                <w:szCs w:val="16"/>
              </w:rPr>
              <w:t>MFE/MEN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CO03</w:t>
            </w:r>
          </w:p>
        </w:tc>
        <w:tc>
          <w:tcPr>
            <w:shd w:val="clear" w:color="auto" w:fill="auto"/>
          </w:tcPr>
          <w:p w:rsidR="008D5009" w:rsidRPr="00870D13" w:rsidP="00426349">
            <w:pPr>
              <w:spacing w:before="0" w:after="0"/>
              <w:rPr>
                <w:color w:val="000000"/>
                <w:sz w:val="16"/>
                <w:szCs w:val="16"/>
              </w:rPr>
            </w:pPr>
            <w:r>
              <w:rPr>
                <w:noProof/>
                <w:color w:val="000000"/>
                <w:sz w:val="16"/>
                <w:szCs w:val="16"/>
              </w:rPr>
              <w:t>Productive investment: Number of enterprises receiving financial support other than grants</w:t>
            </w:r>
          </w:p>
        </w:tc>
        <w:tc>
          <w:tcPr>
            <w:shd w:val="clear" w:color="auto" w:fill="auto"/>
          </w:tcPr>
          <w:p w:rsidR="008D5009" w:rsidRPr="00870D13" w:rsidP="00426349">
            <w:pPr>
              <w:spacing w:before="0" w:after="0"/>
              <w:rPr>
                <w:color w:val="000000"/>
                <w:sz w:val="16"/>
                <w:szCs w:val="16"/>
              </w:rPr>
            </w:pPr>
            <w:r>
              <w:rPr>
                <w:noProof/>
                <w:color w:val="000000"/>
                <w:sz w:val="16"/>
                <w:szCs w:val="16"/>
              </w:rPr>
              <w:t>Enterprises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44.00</w:t>
            </w:r>
          </w:p>
        </w:tc>
        <w:tc>
          <w:tcPr>
            <w:shd w:val="clear" w:color="auto" w:fill="auto"/>
          </w:tcPr>
          <w:p w:rsidR="008D5009" w:rsidRPr="00870D13" w:rsidP="00426349">
            <w:pPr>
              <w:spacing w:before="0" w:after="0"/>
              <w:rPr>
                <w:color w:val="000000"/>
                <w:sz w:val="16"/>
                <w:szCs w:val="16"/>
              </w:rPr>
            </w:pPr>
            <w:r w:rsidRPr="00870D13">
              <w:rPr>
                <w:noProof/>
                <w:sz w:val="16"/>
                <w:szCs w:val="16"/>
              </w:rPr>
              <w:t>MFE/MEN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CO05</w:t>
            </w:r>
          </w:p>
        </w:tc>
        <w:tc>
          <w:tcPr>
            <w:shd w:val="clear" w:color="auto" w:fill="auto"/>
          </w:tcPr>
          <w:p w:rsidR="008D5009" w:rsidRPr="00870D13" w:rsidP="00426349">
            <w:pPr>
              <w:spacing w:before="0" w:after="0"/>
              <w:rPr>
                <w:color w:val="000000"/>
                <w:sz w:val="16"/>
                <w:szCs w:val="16"/>
              </w:rPr>
            </w:pPr>
            <w:r>
              <w:rPr>
                <w:noProof/>
                <w:color w:val="000000"/>
                <w:sz w:val="16"/>
                <w:szCs w:val="16"/>
              </w:rPr>
              <w:t>Productive investment: Number of new enterprises supported</w:t>
            </w:r>
          </w:p>
        </w:tc>
        <w:tc>
          <w:tcPr>
            <w:shd w:val="clear" w:color="auto" w:fill="auto"/>
          </w:tcPr>
          <w:p w:rsidR="008D5009" w:rsidRPr="00870D13" w:rsidP="00426349">
            <w:pPr>
              <w:spacing w:before="0" w:after="0"/>
              <w:rPr>
                <w:color w:val="000000"/>
                <w:sz w:val="16"/>
                <w:szCs w:val="16"/>
              </w:rPr>
            </w:pPr>
            <w:r>
              <w:rPr>
                <w:noProof/>
                <w:color w:val="000000"/>
                <w:sz w:val="16"/>
                <w:szCs w:val="16"/>
              </w:rPr>
              <w:t>Enterprises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74.00</w:t>
            </w:r>
          </w:p>
        </w:tc>
        <w:tc>
          <w:tcPr>
            <w:shd w:val="clear" w:color="auto" w:fill="auto"/>
          </w:tcPr>
          <w:p w:rsidR="008D5009" w:rsidRPr="00870D13" w:rsidP="00426349">
            <w:pPr>
              <w:spacing w:before="0" w:after="0"/>
              <w:rPr>
                <w:color w:val="000000"/>
                <w:sz w:val="16"/>
                <w:szCs w:val="16"/>
              </w:rPr>
            </w:pPr>
            <w:r w:rsidRPr="00870D13">
              <w:rPr>
                <w:noProof/>
                <w:sz w:val="16"/>
                <w:szCs w:val="16"/>
              </w:rPr>
              <w:t>MFE/MEN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CO24</w:t>
            </w:r>
          </w:p>
        </w:tc>
        <w:tc>
          <w:tcPr>
            <w:shd w:val="clear" w:color="auto" w:fill="auto"/>
          </w:tcPr>
          <w:p w:rsidR="008D5009" w:rsidRPr="00870D13" w:rsidP="00426349">
            <w:pPr>
              <w:spacing w:before="0" w:after="0"/>
              <w:rPr>
                <w:color w:val="000000"/>
                <w:sz w:val="16"/>
                <w:szCs w:val="16"/>
              </w:rPr>
            </w:pPr>
            <w:r>
              <w:rPr>
                <w:noProof/>
                <w:color w:val="000000"/>
                <w:sz w:val="16"/>
                <w:szCs w:val="16"/>
              </w:rPr>
              <w:t>Research, innovation: Number of new researchers in supported entities</w:t>
            </w:r>
          </w:p>
        </w:tc>
        <w:tc>
          <w:tcPr>
            <w:shd w:val="clear" w:color="auto" w:fill="auto"/>
          </w:tcPr>
          <w:p w:rsidR="008D5009" w:rsidRPr="00870D13" w:rsidP="00426349">
            <w:pPr>
              <w:spacing w:before="0" w:after="0"/>
              <w:rPr>
                <w:color w:val="000000"/>
                <w:sz w:val="16"/>
                <w:szCs w:val="16"/>
              </w:rPr>
            </w:pPr>
            <w:r>
              <w:rPr>
                <w:noProof/>
                <w:color w:val="000000"/>
                <w:sz w:val="16"/>
                <w:szCs w:val="16"/>
              </w:rPr>
              <w:t>Full time equivalents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119.00</w:t>
            </w:r>
          </w:p>
        </w:tc>
        <w:tc>
          <w:tcPr>
            <w:shd w:val="clear" w:color="auto" w:fill="auto"/>
          </w:tcPr>
          <w:p w:rsidR="008D5009" w:rsidRPr="00870D13" w:rsidP="00426349">
            <w:pPr>
              <w:spacing w:before="0" w:after="0"/>
              <w:rPr>
                <w:color w:val="000000"/>
                <w:sz w:val="16"/>
                <w:szCs w:val="16"/>
              </w:rPr>
            </w:pPr>
            <w:r w:rsidRPr="00870D13">
              <w:rPr>
                <w:noProof/>
                <w:sz w:val="16"/>
                <w:szCs w:val="16"/>
              </w:rPr>
              <w:t>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CO26</w:t>
            </w:r>
          </w:p>
        </w:tc>
        <w:tc>
          <w:tcPr>
            <w:shd w:val="clear" w:color="auto" w:fill="auto"/>
          </w:tcPr>
          <w:p w:rsidR="008D5009" w:rsidRPr="00870D13" w:rsidP="00426349">
            <w:pPr>
              <w:spacing w:before="0" w:after="0"/>
              <w:rPr>
                <w:color w:val="000000"/>
                <w:sz w:val="16"/>
                <w:szCs w:val="16"/>
              </w:rPr>
            </w:pPr>
            <w:r>
              <w:rPr>
                <w:noProof/>
                <w:color w:val="000000"/>
                <w:sz w:val="16"/>
                <w:szCs w:val="16"/>
              </w:rPr>
              <w:t>Research, Innovation: Number of enterprises cooperating with research institutions</w:t>
            </w:r>
          </w:p>
        </w:tc>
        <w:tc>
          <w:tcPr>
            <w:shd w:val="clear" w:color="auto" w:fill="auto"/>
          </w:tcPr>
          <w:p w:rsidR="008D5009" w:rsidRPr="00870D13" w:rsidP="00426349">
            <w:pPr>
              <w:spacing w:before="0" w:after="0"/>
              <w:rPr>
                <w:color w:val="000000"/>
                <w:sz w:val="16"/>
                <w:szCs w:val="16"/>
              </w:rPr>
            </w:pPr>
            <w:r>
              <w:rPr>
                <w:noProof/>
                <w:color w:val="000000"/>
                <w:sz w:val="16"/>
                <w:szCs w:val="16"/>
              </w:rPr>
              <w:t>Enterprises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45.00</w:t>
            </w:r>
          </w:p>
        </w:tc>
        <w:tc>
          <w:tcPr>
            <w:shd w:val="clear" w:color="auto" w:fill="auto"/>
          </w:tcPr>
          <w:p w:rsidR="008D5009" w:rsidRPr="00870D13" w:rsidP="00426349">
            <w:pPr>
              <w:spacing w:before="0" w:after="0"/>
              <w:rPr>
                <w:color w:val="000000"/>
                <w:sz w:val="16"/>
                <w:szCs w:val="16"/>
              </w:rPr>
            </w:pPr>
            <w:r w:rsidRPr="00870D13">
              <w:rPr>
                <w:noProof/>
                <w:sz w:val="16"/>
                <w:szCs w:val="16"/>
              </w:rPr>
              <w:t>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CO27</w:t>
            </w:r>
          </w:p>
        </w:tc>
        <w:tc>
          <w:tcPr>
            <w:shd w:val="clear" w:color="auto" w:fill="auto"/>
          </w:tcPr>
          <w:p w:rsidR="008D5009" w:rsidRPr="00870D13" w:rsidP="00426349">
            <w:pPr>
              <w:spacing w:before="0" w:after="0"/>
              <w:rPr>
                <w:color w:val="000000"/>
                <w:sz w:val="16"/>
                <w:szCs w:val="16"/>
              </w:rPr>
            </w:pPr>
            <w:r>
              <w:rPr>
                <w:noProof/>
                <w:color w:val="000000"/>
                <w:sz w:val="16"/>
                <w:szCs w:val="16"/>
              </w:rPr>
              <w:t>Research, Innovation: Private investment matching public support in innovation or R&amp;D projects</w:t>
            </w:r>
          </w:p>
        </w:tc>
        <w:tc>
          <w:tcPr>
            <w:shd w:val="clear" w:color="auto" w:fill="auto"/>
          </w:tcPr>
          <w:p w:rsidR="008D5009" w:rsidRPr="00870D13" w:rsidP="00426349">
            <w:pPr>
              <w:spacing w:before="0" w:after="0"/>
              <w:rPr>
                <w:color w:val="000000"/>
                <w:sz w:val="16"/>
                <w:szCs w:val="16"/>
              </w:rPr>
            </w:pPr>
            <w:r>
              <w:rPr>
                <w:noProof/>
                <w:color w:val="000000"/>
                <w:sz w:val="16"/>
                <w:szCs w:val="16"/>
              </w:rPr>
              <w:t>EUR</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48,085,731.11</w:t>
            </w:r>
          </w:p>
        </w:tc>
        <w:tc>
          <w:tcPr>
            <w:shd w:val="clear" w:color="auto" w:fill="auto"/>
          </w:tcPr>
          <w:p w:rsidR="008D5009" w:rsidRPr="00870D13" w:rsidP="00426349">
            <w:pPr>
              <w:spacing w:before="0" w:after="0"/>
              <w:rPr>
                <w:color w:val="000000"/>
                <w:sz w:val="16"/>
                <w:szCs w:val="16"/>
              </w:rPr>
            </w:pPr>
            <w:r w:rsidRPr="00870D13">
              <w:rPr>
                <w:noProof/>
                <w:sz w:val="16"/>
                <w:szCs w:val="16"/>
              </w:rPr>
              <w:t>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CO28</w:t>
            </w:r>
          </w:p>
        </w:tc>
        <w:tc>
          <w:tcPr>
            <w:shd w:val="clear" w:color="auto" w:fill="auto"/>
          </w:tcPr>
          <w:p w:rsidR="008D5009" w:rsidRPr="00870D13" w:rsidP="00426349">
            <w:pPr>
              <w:spacing w:before="0" w:after="0"/>
              <w:rPr>
                <w:color w:val="000000"/>
                <w:sz w:val="16"/>
                <w:szCs w:val="16"/>
              </w:rPr>
            </w:pPr>
            <w:r>
              <w:rPr>
                <w:noProof/>
                <w:color w:val="000000"/>
                <w:sz w:val="16"/>
                <w:szCs w:val="16"/>
              </w:rPr>
              <w:t>Research, Innovation: Number of enterprises supported to introduce new to the market products</w:t>
            </w:r>
          </w:p>
        </w:tc>
        <w:tc>
          <w:tcPr>
            <w:shd w:val="clear" w:color="auto" w:fill="auto"/>
          </w:tcPr>
          <w:p w:rsidR="008D5009" w:rsidRPr="00870D13" w:rsidP="00426349">
            <w:pPr>
              <w:spacing w:before="0" w:after="0"/>
              <w:rPr>
                <w:color w:val="000000"/>
                <w:sz w:val="16"/>
                <w:szCs w:val="16"/>
              </w:rPr>
            </w:pPr>
            <w:r>
              <w:rPr>
                <w:noProof/>
                <w:color w:val="000000"/>
                <w:sz w:val="16"/>
                <w:szCs w:val="16"/>
              </w:rPr>
              <w:t>Enterprises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164.00</w:t>
            </w:r>
          </w:p>
        </w:tc>
        <w:tc>
          <w:tcPr>
            <w:shd w:val="clear" w:color="auto" w:fill="auto"/>
          </w:tcPr>
          <w:p w:rsidR="008D5009" w:rsidRPr="00870D13" w:rsidP="00426349">
            <w:pPr>
              <w:spacing w:before="0" w:after="0"/>
              <w:rPr>
                <w:color w:val="000000"/>
                <w:sz w:val="16"/>
                <w:szCs w:val="16"/>
              </w:rPr>
            </w:pPr>
            <w:r w:rsidRPr="00870D13">
              <w:rPr>
                <w:noProof/>
                <w:sz w:val="16"/>
                <w:szCs w:val="16"/>
              </w:rPr>
              <w:t>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Cereri de brevete rezultate din proiecte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Brevete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40.00</w:t>
            </w:r>
          </w:p>
        </w:tc>
        <w:tc>
          <w:tcPr>
            <w:shd w:val="clear" w:color="auto" w:fill="auto"/>
          </w:tcPr>
          <w:p w:rsidR="008D5009" w:rsidRPr="00870D13" w:rsidP="00426349">
            <w:pPr>
              <w:spacing w:before="0" w:after="0"/>
              <w:rPr>
                <w:color w:val="000000"/>
                <w:sz w:val="16"/>
                <w:szCs w:val="16"/>
              </w:rPr>
            </w:pPr>
            <w:r w:rsidRPr="00870D13">
              <w:rPr>
                <w:noProof/>
                <w:sz w:val="16"/>
                <w:szCs w:val="16"/>
              </w:rPr>
              <w:t>MFE/MEN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CO01</w:t>
            </w:r>
          </w:p>
        </w:tc>
        <w:tc>
          <w:tcPr>
            <w:shd w:val="clear" w:color="auto" w:fill="auto"/>
          </w:tcPr>
          <w:p w:rsidR="008D5009" w:rsidRPr="00870D13" w:rsidP="00426349">
            <w:pPr>
              <w:spacing w:before="0" w:after="0"/>
              <w:rPr>
                <w:color w:val="000000"/>
                <w:sz w:val="16"/>
                <w:szCs w:val="16"/>
              </w:rPr>
            </w:pPr>
            <w:r>
              <w:rPr>
                <w:noProof/>
                <w:color w:val="000000"/>
                <w:sz w:val="16"/>
                <w:szCs w:val="16"/>
              </w:rPr>
              <w:t>Productive investment: Number of enterprises receiving support</w:t>
            </w:r>
          </w:p>
        </w:tc>
        <w:tc>
          <w:tcPr>
            <w:shd w:val="clear" w:color="auto" w:fill="auto"/>
          </w:tcPr>
          <w:p w:rsidR="008D5009" w:rsidRPr="00870D13" w:rsidP="00426349">
            <w:pPr>
              <w:spacing w:before="0" w:after="0"/>
              <w:rPr>
                <w:color w:val="000000"/>
                <w:sz w:val="16"/>
                <w:szCs w:val="16"/>
              </w:rPr>
            </w:pPr>
            <w:r>
              <w:rPr>
                <w:noProof/>
                <w:color w:val="000000"/>
                <w:sz w:val="16"/>
                <w:szCs w:val="16"/>
              </w:rPr>
              <w:t>Enterprises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74.00</w:t>
            </w:r>
          </w:p>
        </w:tc>
        <w:tc>
          <w:tcPr>
            <w:shd w:val="clear" w:color="auto" w:fill="auto"/>
          </w:tcPr>
          <w:p w:rsidR="008D5009" w:rsidRPr="00870D13" w:rsidP="00426349">
            <w:pPr>
              <w:spacing w:before="0" w:after="0"/>
              <w:rPr>
                <w:color w:val="000000"/>
                <w:sz w:val="16"/>
                <w:szCs w:val="16"/>
              </w:rPr>
            </w:pPr>
            <w:r w:rsidRPr="00870D13">
              <w:rPr>
                <w:noProof/>
                <w:sz w:val="16"/>
                <w:szCs w:val="16"/>
              </w:rPr>
              <w:t>MFE/MEN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CO03</w:t>
            </w:r>
          </w:p>
        </w:tc>
        <w:tc>
          <w:tcPr>
            <w:shd w:val="clear" w:color="auto" w:fill="auto"/>
          </w:tcPr>
          <w:p w:rsidR="008D5009" w:rsidRPr="00870D13" w:rsidP="00426349">
            <w:pPr>
              <w:spacing w:before="0" w:after="0"/>
              <w:rPr>
                <w:color w:val="000000"/>
                <w:sz w:val="16"/>
                <w:szCs w:val="16"/>
              </w:rPr>
            </w:pPr>
            <w:r>
              <w:rPr>
                <w:noProof/>
                <w:color w:val="000000"/>
                <w:sz w:val="16"/>
                <w:szCs w:val="16"/>
              </w:rPr>
              <w:t>Productive investment: Number of enterprises receiving financial support other than grants</w:t>
            </w:r>
          </w:p>
        </w:tc>
        <w:tc>
          <w:tcPr>
            <w:shd w:val="clear" w:color="auto" w:fill="auto"/>
          </w:tcPr>
          <w:p w:rsidR="008D5009" w:rsidRPr="00870D13" w:rsidP="00426349">
            <w:pPr>
              <w:spacing w:before="0" w:after="0"/>
              <w:rPr>
                <w:color w:val="000000"/>
                <w:sz w:val="16"/>
                <w:szCs w:val="16"/>
              </w:rPr>
            </w:pPr>
            <w:r>
              <w:rPr>
                <w:noProof/>
                <w:color w:val="000000"/>
                <w:sz w:val="16"/>
                <w:szCs w:val="16"/>
              </w:rPr>
              <w:t>Enterprises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6.00</w:t>
            </w:r>
          </w:p>
        </w:tc>
        <w:tc>
          <w:tcPr>
            <w:shd w:val="clear" w:color="auto" w:fill="auto"/>
          </w:tcPr>
          <w:p w:rsidR="008D5009" w:rsidRPr="00870D13" w:rsidP="00426349">
            <w:pPr>
              <w:spacing w:before="0" w:after="0"/>
              <w:rPr>
                <w:color w:val="000000"/>
                <w:sz w:val="16"/>
                <w:szCs w:val="16"/>
              </w:rPr>
            </w:pPr>
            <w:r w:rsidRPr="00870D13">
              <w:rPr>
                <w:noProof/>
                <w:sz w:val="16"/>
                <w:szCs w:val="16"/>
              </w:rPr>
              <w:t>MFE/MEN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CO05</w:t>
            </w:r>
          </w:p>
        </w:tc>
        <w:tc>
          <w:tcPr>
            <w:shd w:val="clear" w:color="auto" w:fill="auto"/>
          </w:tcPr>
          <w:p w:rsidR="008D5009" w:rsidRPr="00870D13" w:rsidP="00426349">
            <w:pPr>
              <w:spacing w:before="0" w:after="0"/>
              <w:rPr>
                <w:color w:val="000000"/>
                <w:sz w:val="16"/>
                <w:szCs w:val="16"/>
              </w:rPr>
            </w:pPr>
            <w:r>
              <w:rPr>
                <w:noProof/>
                <w:color w:val="000000"/>
                <w:sz w:val="16"/>
                <w:szCs w:val="16"/>
              </w:rPr>
              <w:t>Productive investment: Number of new enterprises supported</w:t>
            </w:r>
          </w:p>
        </w:tc>
        <w:tc>
          <w:tcPr>
            <w:shd w:val="clear" w:color="auto" w:fill="auto"/>
          </w:tcPr>
          <w:p w:rsidR="008D5009" w:rsidRPr="00870D13" w:rsidP="00426349">
            <w:pPr>
              <w:spacing w:before="0" w:after="0"/>
              <w:rPr>
                <w:color w:val="000000"/>
                <w:sz w:val="16"/>
                <w:szCs w:val="16"/>
              </w:rPr>
            </w:pPr>
            <w:r>
              <w:rPr>
                <w:noProof/>
                <w:color w:val="000000"/>
                <w:sz w:val="16"/>
                <w:szCs w:val="16"/>
              </w:rPr>
              <w:t>Enterprises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26.00</w:t>
            </w:r>
          </w:p>
        </w:tc>
        <w:tc>
          <w:tcPr>
            <w:shd w:val="clear" w:color="auto" w:fill="auto"/>
          </w:tcPr>
          <w:p w:rsidR="008D5009" w:rsidRPr="00870D13" w:rsidP="00426349">
            <w:pPr>
              <w:spacing w:before="0" w:after="0"/>
              <w:rPr>
                <w:color w:val="000000"/>
                <w:sz w:val="16"/>
                <w:szCs w:val="16"/>
              </w:rPr>
            </w:pPr>
            <w:r w:rsidRPr="00870D13">
              <w:rPr>
                <w:noProof/>
                <w:sz w:val="16"/>
                <w:szCs w:val="16"/>
              </w:rPr>
              <w:t>MFE/MEN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CO24</w:t>
            </w:r>
          </w:p>
        </w:tc>
        <w:tc>
          <w:tcPr>
            <w:shd w:val="clear" w:color="auto" w:fill="auto"/>
          </w:tcPr>
          <w:p w:rsidR="008D5009" w:rsidRPr="00870D13" w:rsidP="00426349">
            <w:pPr>
              <w:spacing w:before="0" w:after="0"/>
              <w:rPr>
                <w:color w:val="000000"/>
                <w:sz w:val="16"/>
                <w:szCs w:val="16"/>
              </w:rPr>
            </w:pPr>
            <w:r>
              <w:rPr>
                <w:noProof/>
                <w:color w:val="000000"/>
                <w:sz w:val="16"/>
                <w:szCs w:val="16"/>
              </w:rPr>
              <w:t>Research, innovation: Number of new researchers in supported entities</w:t>
            </w:r>
          </w:p>
        </w:tc>
        <w:tc>
          <w:tcPr>
            <w:shd w:val="clear" w:color="auto" w:fill="auto"/>
          </w:tcPr>
          <w:p w:rsidR="008D5009" w:rsidRPr="00870D13" w:rsidP="00426349">
            <w:pPr>
              <w:spacing w:before="0" w:after="0"/>
              <w:rPr>
                <w:color w:val="000000"/>
                <w:sz w:val="16"/>
                <w:szCs w:val="16"/>
              </w:rPr>
            </w:pPr>
            <w:r>
              <w:rPr>
                <w:noProof/>
                <w:color w:val="000000"/>
                <w:sz w:val="16"/>
                <w:szCs w:val="16"/>
              </w:rPr>
              <w:t>Full time equivalents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41.00</w:t>
            </w:r>
          </w:p>
        </w:tc>
        <w:tc>
          <w:tcPr>
            <w:shd w:val="clear" w:color="auto" w:fill="auto"/>
          </w:tcPr>
          <w:p w:rsidR="008D5009" w:rsidRPr="00870D13" w:rsidP="00426349">
            <w:pPr>
              <w:spacing w:before="0" w:after="0"/>
              <w:rPr>
                <w:color w:val="000000"/>
                <w:sz w:val="16"/>
                <w:szCs w:val="16"/>
              </w:rPr>
            </w:pPr>
            <w:r w:rsidRPr="00870D13">
              <w:rPr>
                <w:noProof/>
                <w:sz w:val="16"/>
                <w:szCs w:val="16"/>
              </w:rPr>
              <w:t>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CO26</w:t>
            </w:r>
          </w:p>
        </w:tc>
        <w:tc>
          <w:tcPr>
            <w:shd w:val="clear" w:color="auto" w:fill="auto"/>
          </w:tcPr>
          <w:p w:rsidR="008D5009" w:rsidRPr="00870D13" w:rsidP="00426349">
            <w:pPr>
              <w:spacing w:before="0" w:after="0"/>
              <w:rPr>
                <w:color w:val="000000"/>
                <w:sz w:val="16"/>
                <w:szCs w:val="16"/>
              </w:rPr>
            </w:pPr>
            <w:r>
              <w:rPr>
                <w:noProof/>
                <w:color w:val="000000"/>
                <w:sz w:val="16"/>
                <w:szCs w:val="16"/>
              </w:rPr>
              <w:t>Research, Innovation: Number of enterprises cooperating with research institutions</w:t>
            </w:r>
          </w:p>
        </w:tc>
        <w:tc>
          <w:tcPr>
            <w:shd w:val="clear" w:color="auto" w:fill="auto"/>
          </w:tcPr>
          <w:p w:rsidR="008D5009" w:rsidRPr="00870D13" w:rsidP="00426349">
            <w:pPr>
              <w:spacing w:before="0" w:after="0"/>
              <w:rPr>
                <w:color w:val="000000"/>
                <w:sz w:val="16"/>
                <w:szCs w:val="16"/>
              </w:rPr>
            </w:pPr>
            <w:r>
              <w:rPr>
                <w:noProof/>
                <w:color w:val="000000"/>
                <w:sz w:val="16"/>
                <w:szCs w:val="16"/>
              </w:rPr>
              <w:t>Enterprises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16.00</w:t>
            </w:r>
          </w:p>
        </w:tc>
        <w:tc>
          <w:tcPr>
            <w:shd w:val="clear" w:color="auto" w:fill="auto"/>
          </w:tcPr>
          <w:p w:rsidR="008D5009" w:rsidRPr="00870D13" w:rsidP="00426349">
            <w:pPr>
              <w:spacing w:before="0" w:after="0"/>
              <w:rPr>
                <w:color w:val="000000"/>
                <w:sz w:val="16"/>
                <w:szCs w:val="16"/>
              </w:rPr>
            </w:pPr>
            <w:r w:rsidRPr="00870D13">
              <w:rPr>
                <w:noProof/>
                <w:sz w:val="16"/>
                <w:szCs w:val="16"/>
              </w:rPr>
              <w:t>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CO27</w:t>
            </w:r>
          </w:p>
        </w:tc>
        <w:tc>
          <w:tcPr>
            <w:shd w:val="clear" w:color="auto" w:fill="auto"/>
          </w:tcPr>
          <w:p w:rsidR="008D5009" w:rsidRPr="00870D13" w:rsidP="00426349">
            <w:pPr>
              <w:spacing w:before="0" w:after="0"/>
              <w:rPr>
                <w:color w:val="000000"/>
                <w:sz w:val="16"/>
                <w:szCs w:val="16"/>
              </w:rPr>
            </w:pPr>
            <w:r>
              <w:rPr>
                <w:noProof/>
                <w:color w:val="000000"/>
                <w:sz w:val="16"/>
                <w:szCs w:val="16"/>
              </w:rPr>
              <w:t>Research, Innovation: Private investment matching public support in innovation or R&amp;D projects</w:t>
            </w:r>
          </w:p>
        </w:tc>
        <w:tc>
          <w:tcPr>
            <w:shd w:val="clear" w:color="auto" w:fill="auto"/>
          </w:tcPr>
          <w:p w:rsidR="008D5009" w:rsidRPr="00870D13" w:rsidP="00426349">
            <w:pPr>
              <w:spacing w:before="0" w:after="0"/>
              <w:rPr>
                <w:color w:val="000000"/>
                <w:sz w:val="16"/>
                <w:szCs w:val="16"/>
              </w:rPr>
            </w:pPr>
            <w:r>
              <w:rPr>
                <w:noProof/>
                <w:color w:val="000000"/>
                <w:sz w:val="16"/>
                <w:szCs w:val="16"/>
              </w:rPr>
              <w:t>EUR</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16,744,508.82</w:t>
            </w:r>
          </w:p>
        </w:tc>
        <w:tc>
          <w:tcPr>
            <w:shd w:val="clear" w:color="auto" w:fill="auto"/>
          </w:tcPr>
          <w:p w:rsidR="008D5009" w:rsidRPr="00870D13" w:rsidP="00426349">
            <w:pPr>
              <w:spacing w:before="0" w:after="0"/>
              <w:rPr>
                <w:color w:val="000000"/>
                <w:sz w:val="16"/>
                <w:szCs w:val="16"/>
              </w:rPr>
            </w:pPr>
            <w:r w:rsidRPr="00870D13">
              <w:rPr>
                <w:noProof/>
                <w:sz w:val="16"/>
                <w:szCs w:val="16"/>
              </w:rPr>
              <w:t>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CO28</w:t>
            </w:r>
          </w:p>
        </w:tc>
        <w:tc>
          <w:tcPr>
            <w:shd w:val="clear" w:color="auto" w:fill="auto"/>
          </w:tcPr>
          <w:p w:rsidR="008D5009" w:rsidRPr="00870D13" w:rsidP="00426349">
            <w:pPr>
              <w:spacing w:before="0" w:after="0"/>
              <w:rPr>
                <w:color w:val="000000"/>
                <w:sz w:val="16"/>
                <w:szCs w:val="16"/>
              </w:rPr>
            </w:pPr>
            <w:r>
              <w:rPr>
                <w:noProof/>
                <w:color w:val="000000"/>
                <w:sz w:val="16"/>
                <w:szCs w:val="16"/>
              </w:rPr>
              <w:t>Research, Innovation: Number of enterprises supported to introduce new to the market products</w:t>
            </w:r>
          </w:p>
        </w:tc>
        <w:tc>
          <w:tcPr>
            <w:shd w:val="clear" w:color="auto" w:fill="auto"/>
          </w:tcPr>
          <w:p w:rsidR="008D5009" w:rsidRPr="00870D13" w:rsidP="00426349">
            <w:pPr>
              <w:spacing w:before="0" w:after="0"/>
              <w:rPr>
                <w:color w:val="000000"/>
                <w:sz w:val="16"/>
                <w:szCs w:val="16"/>
              </w:rPr>
            </w:pPr>
            <w:r>
              <w:rPr>
                <w:noProof/>
                <w:color w:val="000000"/>
                <w:sz w:val="16"/>
                <w:szCs w:val="16"/>
              </w:rPr>
              <w:t>Enterprises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57.00</w:t>
            </w:r>
          </w:p>
        </w:tc>
        <w:tc>
          <w:tcPr>
            <w:shd w:val="clear" w:color="auto" w:fill="auto"/>
          </w:tcPr>
          <w:p w:rsidR="008D5009" w:rsidRPr="00870D13" w:rsidP="00426349">
            <w:pPr>
              <w:spacing w:before="0" w:after="0"/>
              <w:rPr>
                <w:color w:val="000000"/>
                <w:sz w:val="16"/>
                <w:szCs w:val="16"/>
              </w:rPr>
            </w:pPr>
            <w:r w:rsidRPr="00870D13">
              <w:rPr>
                <w:noProof/>
                <w:sz w:val="16"/>
                <w:szCs w:val="16"/>
              </w:rPr>
              <w:t>MEN</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61" w:name="_Toc256000034"/>
      <w:r>
        <w:rPr>
          <w:noProof/>
        </w:rPr>
        <w:t>2.A.7 Social innovation, transnational cooperation and contribution to thematic objectives 1-7</w:t>
      </w:r>
      <w:bookmarkEnd w:id="61"/>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5"/>
        <w:gridCol w:w="130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Priority axis</w:t>
            </w:r>
          </w:p>
        </w:tc>
        <w:tc>
          <w:tcPr>
            <w:shd w:val="clear" w:color="auto" w:fill="auto"/>
          </w:tcPr>
          <w:p w:rsidR="008D5009" w:rsidRPr="00597F64" w:rsidP="00426349">
            <w:pPr>
              <w:spacing w:before="0" w:after="0"/>
              <w:rPr>
                <w:b/>
                <w:sz w:val="18"/>
                <w:szCs w:val="18"/>
              </w:rPr>
            </w:pPr>
            <w:r w:rsidRPr="00597F64">
              <w:rPr>
                <w:b/>
                <w:noProof/>
                <w:sz w:val="16"/>
                <w:szCs w:val="16"/>
              </w:rPr>
              <w:t>AP1</w:t>
            </w:r>
            <w:r w:rsidRPr="00597F64">
              <w:rPr>
                <w:b/>
                <w:sz w:val="16"/>
                <w:szCs w:val="16"/>
              </w:rPr>
              <w:t xml:space="preserve">  -  </w:t>
            </w:r>
            <w:r w:rsidRPr="00597F64">
              <w:rPr>
                <w:b/>
                <w:noProof/>
                <w:sz w:val="16"/>
                <w:szCs w:val="16"/>
              </w:rPr>
              <w:t>Cercetare, dezvoltare tehnologica si inovare (CDI) in sprijinul competitivitatii economice si dezvoltarii afacerilor</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62" w:name="_Toc256000035"/>
      <w:r>
        <w:rPr>
          <w:noProof/>
        </w:rPr>
        <w:t>2.A.8 Performance framework</w:t>
      </w:r>
      <w:bookmarkEnd w:id="62"/>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Table 6: Performance framework of the priority axis</w:t>
      </w:r>
      <w:r>
        <w:rPr>
          <w:noProof/>
        </w:rPr>
        <w:t xml:space="preserve"> </w:t>
      </w:r>
      <w:r>
        <w:rPr>
          <w:noProof/>
        </w:rPr>
        <w:t>(by fund and, for the ERDF and ESF, category of region)</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784"/>
        <w:gridCol w:w="2211"/>
        <w:gridCol w:w="2211"/>
        <w:gridCol w:w="1735"/>
        <w:gridCol w:w="492"/>
        <w:gridCol w:w="957"/>
        <w:gridCol w:w="330"/>
        <w:gridCol w:w="336"/>
        <w:gridCol w:w="686"/>
        <w:gridCol w:w="330"/>
        <w:gridCol w:w="336"/>
        <w:gridCol w:w="861"/>
        <w:gridCol w:w="734"/>
        <w:gridCol w:w="22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Priority axis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AP1 - </w:t>
            </w:r>
            <w:r w:rsidRPr="0012258C">
              <w:rPr>
                <w:b/>
                <w:color w:val="000000"/>
                <w:sz w:val="10"/>
                <w:szCs w:val="10"/>
                <w:lang w:val="it-IT"/>
              </w:rPr>
              <w:t xml:space="preserve"> </w:t>
            </w:r>
            <w:r w:rsidRPr="0012258C">
              <w:rPr>
                <w:b/>
                <w:noProof/>
                <w:color w:val="000000"/>
                <w:sz w:val="10"/>
                <w:szCs w:val="10"/>
                <w:lang w:val="it-IT"/>
              </w:rPr>
              <w:t>Cercetare, dezvoltare tehnologica si inovare (CDI) in sprijinul competitivitatii economice si dezvoltarii afacerilor</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Indicator type</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Indicator or key implementation step</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Measurement unit, where appropriate</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Fund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Category of region</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Milestone for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Final target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Source of data</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Explanation of relevance of indicator, where appropriate</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W</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T</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W</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T</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Suma totală a cheltuielii eligibile din sistemul contabil al autorităţii de certificare, certificată de această autoritate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ERDF</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Less developed</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87,702,161</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698,846,719.00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MFE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Suma totală a cheltuielii eligibile din sistemul contabil al autorităţii de certificare, certificată de această autoritate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ERDF</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More developed</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28,946,858</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233,002,545.00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MFE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O</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Productive investment: Number of enterprises receiving support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Enterprises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ERDF</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Less developed</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38</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290.00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MFE/MEN</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O</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Productive investment: Number of enterprises receiving support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Enterprises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ERDF</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More developed</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83.00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MFE/MEN</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CO24</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O</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Research, innovation: Number of new researchers in supported entities</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Full time equivalents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ERDF</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Less developed</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31</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292.98</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MFE/MEN</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CO24</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O</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Research, innovation: Number of new researchers in supported entities</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Full time equivalents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ERDF</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More developed</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24</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195.50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MFE/MEN</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Additional qualitative information on the establishment of the performance framework</w:t>
      </w:r>
    </w:p>
    <w:p>
      <w:pPr>
        <w:spacing w:before="0" w:after="240"/>
        <w:jc w:val="left"/>
        <w:rPr>
          <w:rFonts w:ascii="Times New Roman" w:eastAsia="Times New Roman" w:hAnsi="Times New Roman" w:cs="Times New Roman"/>
        </w:rPr>
      </w:pPr>
      <w:r>
        <w:rPr>
          <w:rFonts w:ascii="Times New Roman" w:eastAsia="Times New Roman" w:hAnsi="Times New Roman" w:cs="Times New Roman"/>
          <w:b/>
          <w:bCs/>
          <w:i/>
          <w:iCs/>
        </w:rPr>
        <w:t>Stabilirea țintelor pentru indicatorul financiar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Ținta indicatorului financiar pentru 2023 a fost stabilită la un nivel de 100% din alocarea (FEDR+cofinantare Ro) pentru POC; astfel, tinta indicatorului financiar pentru anul 2023 va fi de 952,5 milioane Euro.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Stabilirea țintei la nivelul anului 2018 s-a realizat pe principiul atingerii nivelului minim de cheltuieli impus de regula N+3, necesar pentru evitarea dezangajării automate a fondurilor (soluție conservatoare). Au fost luate in considerare alocarile (FEDR+cofinantarea Ro) fără rezerva de performanta din anii 2014 și 2015 din care s-au scazut sumele reprezentând prefinantarea initială din anii 2014, 2015 și 2016 și prefinanțarile anuale din anii 2016, 2017 și 2018. A rezultat astfel o țintă pentru anul 2018 de 116,6 milioane Euro.</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Selectarea indicatorilor de realizarea imediată pentru cadrul de performanță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Din setul de indicatori de realizare imediată aferent programului au fost selectati doi indicatori care corespund unei alocări de peste 50% din alocarea pentru AP 1, respectiv ”Întreprinderi cărora li s-a acordat sprijin prin proiecte” și ” Număr de noi cercetători în entitățile sprijinite”. Acești indicatori corespund Actiunilor 1.1.1, 1.1.4, 1.2.1, 1.2.2 și 1.2.3.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Cheltuielile publice totale pentru sprijinirea întreprinderilor și a noilor cercetători sunt următoarele:</w:t>
      </w:r>
    </w:p>
    <w:p>
      <w:pPr>
        <w:numPr>
          <w:ilvl w:val="0"/>
          <w:numId w:val="9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Pentru LDR - 635,1 mil.euro (88,66 % din valoarea alocărilor pentru LDR).</w:t>
      </w:r>
    </w:p>
    <w:p>
      <w:pPr>
        <w:numPr>
          <w:ilvl w:val="0"/>
          <w:numId w:val="9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Pentru MDR – 223,9 mil.euro (94,78 % din valoarea alocărilor pentru MDR).</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Stabilirea țintelor pentru 2023 si 2018 pentru indicatorul de realizarea imediată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Stabilirea țintelor pentru 2023 și 2018 pentru indicatorul de realizare s-a stabilit pe baza experienței dobandite în perioada 2007-2013 și a duratei proiectelor care vor fi sprijinite.</w:t>
      </w:r>
    </w:p>
    <w:p w:rsidR="008D5009" w:rsidP="008D5009">
      <w:pPr>
        <w:suppressAutoHyphens/>
        <w:spacing w:before="0" w:after="0"/>
      </w:pP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63" w:name="_Toc256000036"/>
      <w:r>
        <w:rPr>
          <w:noProof/>
          <w:color w:val="000000"/>
        </w:rPr>
        <w:t>2.A.9 Categories of intervention</w:t>
      </w:r>
      <w:bookmarkEnd w:id="63"/>
    </w:p>
    <w:p w:rsidR="008D5009" w:rsidRPr="00AF73E7" w:rsidP="008D5009">
      <w:pPr>
        <w:spacing w:before="0" w:after="0"/>
      </w:pPr>
      <w:r w:rsidRPr="00AF73E7">
        <w:rPr>
          <w:noProof/>
        </w:rPr>
        <w:t>Categories of intervention corresponding to the content of the priority axis based on a nomenclature adopted by the Commission, and indicative breakdown of Union support.</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Tables 7-11: Categories of intervention</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Table 7: Dimension 1 - Intervention field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6"/>
        <w:gridCol w:w="1152"/>
        <w:gridCol w:w="701"/>
        <w:gridCol w:w="10115"/>
        <w:gridCol w:w="151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Priority axis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AP1 - </w:t>
            </w:r>
            <w:r w:rsidRPr="00A15E2F">
              <w:rPr>
                <w:b/>
                <w:color w:val="000000"/>
                <w:sz w:val="16"/>
                <w:szCs w:val="16"/>
              </w:rPr>
              <w:t xml:space="preserve"> </w:t>
            </w:r>
            <w:r>
              <w:rPr>
                <w:b/>
                <w:noProof/>
                <w:color w:val="000000"/>
                <w:sz w:val="16"/>
                <w:szCs w:val="16"/>
              </w:rPr>
              <w:t>Cercetare, dezvoltare tehnologica si inovare (CDI) in sprijinul competitivitatii economice si dezvoltarii afacerilor</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Fund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Category of region</w:t>
            </w:r>
          </w:p>
        </w:tc>
        <w:tc>
          <w:tcPr>
            <w:shd w:val="clear" w:color="auto" w:fill="auto"/>
          </w:tcPr>
          <w:p w:rsidR="008D5009" w:rsidRPr="004D625B" w:rsidP="00426349">
            <w:pPr>
              <w:spacing w:before="0" w:after="0"/>
              <w:jc w:val="center"/>
              <w:rPr>
                <w:b/>
                <w:sz w:val="16"/>
                <w:szCs w:val="16"/>
              </w:rPr>
            </w:pPr>
            <w:r w:rsidRPr="004D625B">
              <w:rPr>
                <w:b/>
                <w:noProof/>
                <w:sz w:val="16"/>
                <w:szCs w:val="16"/>
              </w:rPr>
              <w:t>Code</w:t>
            </w:r>
          </w:p>
        </w:tc>
        <w:tc>
          <w:tcPr>
            <w:shd w:val="clear" w:color="auto" w:fill="auto"/>
          </w:tcPr>
          <w:p w:rsidR="008D5009" w:rsidRPr="004D625B" w:rsidP="00426349">
            <w:pPr>
              <w:spacing w:before="0" w:after="0"/>
              <w:jc w:val="center"/>
              <w:rPr>
                <w:b/>
                <w:sz w:val="16"/>
                <w:szCs w:val="16"/>
              </w:rPr>
            </w:pPr>
            <w:r w:rsidRPr="004D625B">
              <w:rPr>
                <w:b/>
                <w:noProof/>
                <w:sz w:val="16"/>
                <w:szCs w:val="16"/>
              </w:rPr>
              <w:t>€ amount</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Less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058</w:t>
            </w:r>
            <w:r w:rsidRPr="00727EAD">
              <w:rPr>
                <w:color w:val="000000"/>
                <w:sz w:val="16"/>
                <w:szCs w:val="16"/>
              </w:rPr>
              <w:t xml:space="preserve">. </w:t>
            </w:r>
            <w:r w:rsidRPr="00727EAD">
              <w:rPr>
                <w:noProof/>
                <w:color w:val="000000"/>
                <w:sz w:val="16"/>
                <w:szCs w:val="16"/>
              </w:rPr>
              <w:t>Research and innovation infrastructure (public)</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240,880,494.00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More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058</w:t>
            </w:r>
            <w:r w:rsidRPr="00727EAD">
              <w:rPr>
                <w:color w:val="000000"/>
                <w:sz w:val="16"/>
                <w:szCs w:val="16"/>
              </w:rPr>
              <w:t xml:space="preserve">. </w:t>
            </w:r>
            <w:r w:rsidRPr="00727EAD">
              <w:rPr>
                <w:noProof/>
                <w:color w:val="000000"/>
                <w:sz w:val="16"/>
                <w:szCs w:val="16"/>
              </w:rPr>
              <w:t>Research and innovation infrastructure (public)</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114,573,893.00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Less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059</w:t>
            </w:r>
            <w:r w:rsidRPr="00727EAD">
              <w:rPr>
                <w:color w:val="000000"/>
                <w:sz w:val="16"/>
                <w:szCs w:val="16"/>
              </w:rPr>
              <w:t xml:space="preserve">. </w:t>
            </w:r>
            <w:r w:rsidRPr="00727EAD">
              <w:rPr>
                <w:noProof/>
                <w:color w:val="000000"/>
                <w:sz w:val="16"/>
                <w:szCs w:val="16"/>
              </w:rPr>
              <w:t>Research and innovation infrastructure (private, including science parks)</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78,750,000.00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More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059</w:t>
            </w:r>
            <w:r w:rsidRPr="00727EAD">
              <w:rPr>
                <w:color w:val="000000"/>
                <w:sz w:val="16"/>
                <w:szCs w:val="16"/>
              </w:rPr>
              <w:t xml:space="preserve">. </w:t>
            </w:r>
            <w:r w:rsidRPr="00727EAD">
              <w:rPr>
                <w:noProof/>
                <w:color w:val="000000"/>
                <w:sz w:val="16"/>
                <w:szCs w:val="16"/>
              </w:rPr>
              <w:t>Research and innovation infrastructure (private, including science parks)</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11,250,000.00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Less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060</w:t>
            </w:r>
            <w:r w:rsidRPr="00727EAD">
              <w:rPr>
                <w:color w:val="000000"/>
                <w:sz w:val="16"/>
                <w:szCs w:val="16"/>
              </w:rPr>
              <w:t xml:space="preserve">. </w:t>
            </w:r>
            <w:r w:rsidRPr="00727EAD">
              <w:rPr>
                <w:noProof/>
                <w:color w:val="000000"/>
                <w:sz w:val="16"/>
                <w:szCs w:val="16"/>
              </w:rPr>
              <w:t>Research and innovation activities in public research centres and centres of competence including networking</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34,498,777.00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More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060</w:t>
            </w:r>
            <w:r w:rsidRPr="00727EAD">
              <w:rPr>
                <w:color w:val="000000"/>
                <w:sz w:val="16"/>
                <w:szCs w:val="16"/>
              </w:rPr>
              <w:t xml:space="preserve">. </w:t>
            </w:r>
            <w:r w:rsidRPr="00727EAD">
              <w:rPr>
                <w:noProof/>
                <w:color w:val="000000"/>
                <w:sz w:val="16"/>
                <w:szCs w:val="16"/>
              </w:rPr>
              <w:t>Research and innovation activities in public research centres and centres of competence including networking</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4,424,789.00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Less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061</w:t>
            </w:r>
            <w:r w:rsidRPr="00727EAD">
              <w:rPr>
                <w:color w:val="000000"/>
                <w:sz w:val="16"/>
                <w:szCs w:val="16"/>
              </w:rPr>
              <w:t xml:space="preserve">. </w:t>
            </w:r>
            <w:r w:rsidRPr="00727EAD">
              <w:rPr>
                <w:noProof/>
                <w:color w:val="000000"/>
                <w:sz w:val="16"/>
                <w:szCs w:val="16"/>
              </w:rPr>
              <w:t>Research and innovation activities in private research centres including networking</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117,074,011.00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More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061</w:t>
            </w:r>
            <w:r w:rsidRPr="00727EAD">
              <w:rPr>
                <w:color w:val="000000"/>
                <w:sz w:val="16"/>
                <w:szCs w:val="16"/>
              </w:rPr>
              <w:t xml:space="preserve">. </w:t>
            </w:r>
            <w:r w:rsidRPr="00727EAD">
              <w:rPr>
                <w:noProof/>
                <w:color w:val="000000"/>
                <w:sz w:val="16"/>
                <w:szCs w:val="16"/>
              </w:rPr>
              <w:t>Research and innovation activities in private research centres including networking</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27,432,165.00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Less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062</w:t>
            </w:r>
            <w:r w:rsidRPr="00727EAD">
              <w:rPr>
                <w:color w:val="000000"/>
                <w:sz w:val="16"/>
                <w:szCs w:val="16"/>
              </w:rPr>
              <w:t xml:space="preserve">. </w:t>
            </w:r>
            <w:r w:rsidRPr="00727EAD">
              <w:rPr>
                <w:noProof/>
                <w:color w:val="000000"/>
                <w:sz w:val="16"/>
                <w:szCs w:val="16"/>
              </w:rPr>
              <w:t>Technology transfer and university-enterprise cooperation primarily benefiting SMEs</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76,764,773.00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More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062</w:t>
            </w:r>
            <w:r w:rsidRPr="00727EAD">
              <w:rPr>
                <w:color w:val="000000"/>
                <w:sz w:val="16"/>
                <w:szCs w:val="16"/>
              </w:rPr>
              <w:t xml:space="preserve">. </w:t>
            </w:r>
            <w:r w:rsidRPr="00727EAD">
              <w:rPr>
                <w:noProof/>
                <w:color w:val="000000"/>
                <w:sz w:val="16"/>
                <w:szCs w:val="16"/>
              </w:rPr>
              <w:t>Technology transfer and university-enterprise cooperation primarily benefiting SMEs</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24,772,245.00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Less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064</w:t>
            </w:r>
            <w:r w:rsidRPr="00727EAD">
              <w:rPr>
                <w:color w:val="000000"/>
                <w:sz w:val="16"/>
                <w:szCs w:val="16"/>
              </w:rPr>
              <w:t xml:space="preserve">. </w:t>
            </w:r>
            <w:r w:rsidRPr="00727EAD">
              <w:rPr>
                <w:noProof/>
                <w:color w:val="000000"/>
                <w:sz w:val="16"/>
                <w:szCs w:val="16"/>
              </w:rPr>
              <w:t>Research and innovation processes in SMEs (including voucher schemes, process, design, service and social innovation)</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43,750,000.00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More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064</w:t>
            </w:r>
            <w:r w:rsidRPr="00727EAD">
              <w:rPr>
                <w:color w:val="000000"/>
                <w:sz w:val="16"/>
                <w:szCs w:val="16"/>
              </w:rPr>
              <w:t xml:space="preserve">. </w:t>
            </w:r>
            <w:r w:rsidRPr="00727EAD">
              <w:rPr>
                <w:noProof/>
                <w:color w:val="000000"/>
                <w:sz w:val="16"/>
                <w:szCs w:val="16"/>
              </w:rPr>
              <w:t>Research and innovation processes in SMEs (including voucher schemes, process, design, service and social innovation)</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6,250,000.00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Table 8: Dimension 2 - Form of finance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1340"/>
        <w:gridCol w:w="932"/>
        <w:gridCol w:w="8985"/>
        <w:gridCol w:w="200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Priority axis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AP1 - </w:t>
            </w:r>
            <w:r w:rsidRPr="00A15E2F">
              <w:rPr>
                <w:b/>
                <w:color w:val="000000"/>
                <w:sz w:val="16"/>
                <w:szCs w:val="16"/>
              </w:rPr>
              <w:t xml:space="preserve"> </w:t>
            </w:r>
            <w:r>
              <w:rPr>
                <w:b/>
                <w:noProof/>
                <w:color w:val="000000"/>
                <w:sz w:val="16"/>
                <w:szCs w:val="16"/>
              </w:rPr>
              <w:t>Cercetare, dezvoltare tehnologica si inovare (CDI) in sprijinul competitivitatii economice si dezvoltarii afacerilor</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Fund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Category of region</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Code</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 amount</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Non-repayable grant</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730,421,147.00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03</w:t>
            </w:r>
            <w:r w:rsidRPr="00727EAD">
              <w:rPr>
                <w:color w:val="000000"/>
                <w:sz w:val="16"/>
                <w:szCs w:val="16"/>
              </w:rPr>
              <w:t xml:space="preserve">. </w:t>
            </w:r>
            <w:r w:rsidRPr="00727EAD">
              <w:rPr>
                <w:noProof/>
                <w:color w:val="000000"/>
                <w:sz w:val="16"/>
                <w:szCs w:val="16"/>
              </w:rPr>
              <w:t>Support through financial instruments: venture and equity capital or equivalent</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20,000,000.00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04</w:t>
            </w:r>
            <w:r w:rsidRPr="00727EAD">
              <w:rPr>
                <w:color w:val="000000"/>
                <w:sz w:val="16"/>
                <w:szCs w:val="16"/>
              </w:rPr>
              <w:t xml:space="preserve">. </w:t>
            </w:r>
            <w:r w:rsidRPr="00727EAD">
              <w:rPr>
                <w:noProof/>
                <w:color w:val="000000"/>
                <w:sz w:val="16"/>
                <w:szCs w:val="16"/>
              </w:rPr>
              <w:t>Support through financial instruments: loan or equivalent</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15,000,000.00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05</w:t>
            </w:r>
            <w:r w:rsidRPr="00727EAD">
              <w:rPr>
                <w:color w:val="000000"/>
                <w:sz w:val="16"/>
                <w:szCs w:val="16"/>
              </w:rPr>
              <w:t xml:space="preserve">. </w:t>
            </w:r>
            <w:r w:rsidRPr="00727EAD">
              <w:rPr>
                <w:noProof/>
                <w:color w:val="000000"/>
                <w:sz w:val="16"/>
                <w:szCs w:val="16"/>
              </w:rPr>
              <w:t>Support through financial instruments: guarantee or equivalent</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15,000,000.00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Table 9: Dimension 3 - Territory type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3"/>
        <w:gridCol w:w="1313"/>
        <w:gridCol w:w="2190"/>
        <w:gridCol w:w="5206"/>
        <w:gridCol w:w="455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Priority axis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AP1 - </w:t>
            </w:r>
            <w:r w:rsidRPr="00A15E2F">
              <w:rPr>
                <w:b/>
                <w:color w:val="000000"/>
                <w:sz w:val="16"/>
                <w:szCs w:val="16"/>
              </w:rPr>
              <w:t xml:space="preserve"> </w:t>
            </w:r>
            <w:r>
              <w:rPr>
                <w:b/>
                <w:noProof/>
                <w:color w:val="000000"/>
                <w:sz w:val="16"/>
                <w:szCs w:val="16"/>
              </w:rPr>
              <w:t>Cercetare, dezvoltare tehnologica si inovare (CDI) in sprijinul competitivitatii economice si dezvoltarii afacerilor</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Fund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Category of region</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Code</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 amount</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Not applicable</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780,421,147.00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Table 10: Dimension 4 - Territorial delivery mechanisms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3"/>
        <w:gridCol w:w="1200"/>
        <w:gridCol w:w="2234"/>
        <w:gridCol w:w="5312"/>
        <w:gridCol w:w="464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Priority axis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AP1</w:t>
            </w:r>
            <w:r w:rsidRPr="00C23AD8">
              <w:rPr>
                <w:b/>
                <w:color w:val="000000"/>
                <w:sz w:val="18"/>
                <w:szCs w:val="18"/>
              </w:rPr>
              <w:t xml:space="preserve"> - </w:t>
            </w:r>
            <w:r w:rsidRPr="00C23AD8">
              <w:rPr>
                <w:b/>
                <w:noProof/>
                <w:color w:val="000000"/>
                <w:sz w:val="18"/>
                <w:szCs w:val="18"/>
              </w:rPr>
              <w:t>Cercetare, dezvoltare tehnologica si inovare (CDI) in sprijinul competitivitatii economice si dezvoltarii afacerilor</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Fund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Category of region</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Code</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 amount</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Not applicable</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780,421,147.00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Table 11: Dimension 6 - ESF secondary theme</w:t>
      </w:r>
      <w:r>
        <w:rPr>
          <w:sz w:val="20"/>
          <w:lang w:eastAsia="en-GB"/>
        </w:rPr>
        <w:t xml:space="preserve"> </w:t>
      </w:r>
      <w:r>
        <w:rPr>
          <w:noProof/>
          <w:sz w:val="20"/>
          <w:lang w:eastAsia="en-GB"/>
        </w:rPr>
        <w:t>(ESF and YEI only)</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8"/>
        <w:gridCol w:w="1377"/>
        <w:gridCol w:w="3229"/>
        <w:gridCol w:w="3480"/>
        <w:gridCol w:w="51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Priority axis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AP1</w:t>
            </w:r>
            <w:r w:rsidRPr="00376E50">
              <w:rPr>
                <w:b/>
                <w:sz w:val="16"/>
                <w:szCs w:val="16"/>
              </w:rPr>
              <w:t xml:space="preserve"> - </w:t>
            </w:r>
            <w:r w:rsidRPr="00376E50">
              <w:rPr>
                <w:b/>
                <w:noProof/>
                <w:sz w:val="16"/>
                <w:szCs w:val="16"/>
              </w:rPr>
              <w:t>Cercetare, dezvoltare tehnologica si inovare (CDI) in sprijinul competitivitatii economice si dezvoltarii afacerilor</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Fund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Category of region</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Code</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 amount</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64" w:name="_Toc256000037"/>
      <w:r>
        <w:rPr>
          <w:noProof/>
        </w:rPr>
        <w:t>2.A.10 Summary of the planned use of technical assistance including, where necessary, actions to reinforce the administrative capacity of authorities involved in the management and control of the programmes and beneficiaries</w:t>
      </w:r>
      <w:bookmarkStart w:id="65" w:name="_Toc512434573"/>
      <w:bookmarkStart w:id="66" w:name="_Toc25666843"/>
      <w:bookmarkStart w:id="67" w:name="_Toc27646450"/>
      <w:bookmarkStart w:id="68" w:name="_Toc256000021"/>
      <w:r>
        <w:rPr>
          <w:b w:val="0"/>
        </w:rPr>
        <w:t xml:space="preserve"> </w:t>
      </w:r>
      <w:r>
        <w:rPr>
          <w:b w:val="0"/>
          <w:noProof/>
        </w:rPr>
        <w:t>(where appropriate)</w:t>
      </w:r>
      <w:r>
        <w:rPr>
          <w:b w:val="0"/>
        </w:rPr>
        <w:t xml:space="preserve"> </w:t>
      </w:r>
      <w:r>
        <w:rPr>
          <w:b w:val="0"/>
          <w:noProof/>
        </w:rPr>
        <w:t>(by priority axis)</w:t>
      </w:r>
      <w:bookmarkEnd w:id="64"/>
      <w:bookmarkEnd w:id="68"/>
      <w:bookmarkEnd w:id="65"/>
      <w:bookmarkEnd w:id="66"/>
      <w:bookmarkEnd w:id="6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7"/>
        <w:gridCol w:w="1294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Priority axis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AP1</w:t>
            </w:r>
            <w:r w:rsidRPr="00376E50">
              <w:rPr>
                <w:b/>
                <w:sz w:val="16"/>
                <w:szCs w:val="16"/>
              </w:rPr>
              <w:t xml:space="preserve"> - </w:t>
            </w:r>
            <w:r w:rsidRPr="00376E50">
              <w:rPr>
                <w:b/>
                <w:noProof/>
                <w:sz w:val="16"/>
                <w:szCs w:val="16"/>
              </w:rPr>
              <w:t>Cercetare, dezvoltare tehnologica si inovare (CDI) in sprijinul competitivitatii economice si dezvoltarii afacerilor</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Asistența tehnică pentru implementarea POC se va asigura prin POAT 2014-202 (pentru care autoritate de management este Ministerul Fondurilor Europene).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POAT 2014-2020 va asigura expertiza și sprijinul logistic pentru funcționarea AM-ului, OI-urilor și a altor organisme cu atribuții delegate în implementarea acestui program, precum si:</w:t>
            </w:r>
          </w:p>
          <w:p>
            <w:pPr>
              <w:numPr>
                <w:ilvl w:val="0"/>
                <w:numId w:val="9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instruire orizontală pentru personalul AM/OI, pentru potențialii beneficiari/beneficiarii POC</w:t>
            </w:r>
          </w:p>
          <w:p>
            <w:pPr>
              <w:numPr>
                <w:ilvl w:val="0"/>
                <w:numId w:val="9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instruire specifică pentru beneficiarii POC</w:t>
            </w:r>
          </w:p>
          <w:p>
            <w:pPr>
              <w:numPr>
                <w:ilvl w:val="0"/>
                <w:numId w:val="9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sprijin pentru dezvoltarea și punerea în practică de asistență orizontală specifică pentru beneficiarii POC</w:t>
            </w:r>
          </w:p>
          <w:p>
            <w:pPr>
              <w:numPr>
                <w:ilvl w:val="0"/>
                <w:numId w:val="9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diseminarea informaţiilor şi derularea activităţilor de informare şi publicitate cu privire la fondurile structurale și POC</w:t>
            </w:r>
          </w:p>
          <w:p>
            <w:pPr>
              <w:numPr>
                <w:ilvl w:val="0"/>
                <w:numId w:val="9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îmbunătățirea cadrului și condițiilor pentru coordonarea și controlul fondurilor structurale și pentru gestionarea POC.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La nivel specific este necesar sprijin pentru:</w:t>
            </w:r>
          </w:p>
          <w:p>
            <w:pPr>
              <w:numPr>
                <w:ilvl w:val="0"/>
                <w:numId w:val="9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întărirea capacității, organizarea și funcționarea CM POC, inclusiv a unor grupuri de lucru/rețele specifice înființate pentru buna monitorizare și implementare a POC;</w:t>
            </w:r>
          </w:p>
          <w:p>
            <w:pPr>
              <w:numPr>
                <w:ilvl w:val="0"/>
                <w:numId w:val="9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elaborarea/actualizarea unor scheme de ajutor de stat;</w:t>
            </w:r>
          </w:p>
          <w:p>
            <w:pPr>
              <w:numPr>
                <w:ilvl w:val="0"/>
                <w:numId w:val="9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experţi pentru evaluarea propunerilor de proiecte (inclusiv experți internaționali), precum şi experți pentru monitorizarea proiectelor, atât în stadiul de verificare administrativă a rapoartelor de progres, a cererilor de rambursare și pentru consultanță financiară.</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9F202D" w:rsidP="008D5009">
      <w:pPr>
        <w:pStyle w:val="ManualHeading2"/>
        <w:spacing w:before="0" w:after="0"/>
        <w:rPr>
          <w:lang w:val="fr-BE"/>
        </w:rPr>
      </w:pPr>
      <w:bookmarkStart w:id="69" w:name="_Toc256000038"/>
      <w:r w:rsidRPr="009F202D">
        <w:rPr>
          <w:noProof/>
          <w:lang w:val="fr-BE"/>
        </w:rPr>
        <w:t>2.A.1 Priority axis</w:t>
      </w:r>
      <w:bookmarkEnd w:id="6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72"/>
        <w:gridCol w:w="1120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 of the priority axis</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AP2</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Title of the priority axis</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Tehnologia informatiei si comunicatiilor (TIC) pentru o economie digitala competitiva</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The entire priority axis will be implemented solely through financial instruments</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The entire priority axis will be implemented solely through financial instruments set up at Union level</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The entire priority axis will be implemented through community-led local development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ESF: The entire priority axis is dedicated to social innovation or to transnational cooperation, or both</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SME (Article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70" w:name="_Toc256000039"/>
      <w:r>
        <w:rPr>
          <w:noProof/>
          <w:color w:val="000000"/>
        </w:rPr>
        <w:t>2.A.2 Justification for the establishment of a priority axis covering more than one category of region, thematic objective or fund</w:t>
      </w:r>
      <w:r>
        <w:rPr>
          <w:b w:val="0"/>
          <w:color w:val="000000"/>
        </w:rPr>
        <w:t xml:space="preserve"> </w:t>
      </w:r>
      <w:r>
        <w:rPr>
          <w:b w:val="0"/>
          <w:noProof/>
          <w:color w:val="000000"/>
        </w:rPr>
        <w:t>(where applicable)</w:t>
      </w:r>
      <w:bookmarkEnd w:id="70"/>
    </w:p>
    <w:p>
      <w:pPr>
        <w:spacing w:before="0" w:after="240"/>
        <w:jc w:val="left"/>
        <w:rPr>
          <w:rFonts w:ascii="Times New Roman" w:eastAsia="Times New Roman" w:hAnsi="Times New Roman" w:cs="Times New Roman"/>
        </w:rPr>
      </w:pPr>
      <w:r>
        <w:rPr>
          <w:rFonts w:ascii="Times New Roman" w:eastAsia="Times New Roman" w:hAnsi="Times New Roman" w:cs="Times New Roman"/>
        </w:rPr>
        <w:t>Acțiunile prin Axa Prioritară 2 sunt concepute astfel încât să asigure o abordare sistemică a intervențiilor susținute, abordarea provocărilor și necesităților de dezvoltare într-o manieră de sus în jos. Scopul este de a asigura, pe de o parte, o aplicare coerentă și uniformă a instrumentelor TIC în toate sistemele publice implementate în România, precum și de comunicarea/corelarea lor cu sistemele europene relevante.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Tintele asumate de România, până în 2020, prin SNADR în raport cu obiectivele SADpE sunt următoarele: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creșterea ratei de utilizare la 35% din cetățenii care utilizează serviciile e-guvernare și creșterea procentului de cetățeni care returnează formulare la 20% din totalul cetățenilor care utilizează serviciile e-guvernare,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utilizarea cu regularitate a internetului de către 60% din total cetățeni și de către 45% printre persoanele dezavantajate și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acoperirea de 100% cu infrastructură în bandă largă de mare viteză, acoperirea de 80% cu  infrastructură în bandă largă cu viteze de peste 30 Mbps și 45% abonamente la infrastructura în bandă largă cu viteze de peste 100 Mbps la punct fix.</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Aceste ținte acoperă atât nevoi localizate în zone mai puțin dezvoltate, cât și în zone mai dezvoltate. În acest sens, AP2 alocă 461 milioane de euro, în perioada 2014-2020 din fonduri FEDR, pentru proiecte în beneficiul regiunilor mai puțin dezvoltate și 70 milioane de euro regiunilor mai dezvoltate. Astfel, se distribuie 87% din fondurile AP2 regiunilor mai puțin dezvoltate și 13% regiunilor mai dezvoltate. </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71" w:name="_Toc256000040"/>
      <w:r>
        <w:rPr>
          <w:noProof/>
        </w:rPr>
        <w:t>2.A.3 Fund, category of region and calculation basis for Union support</w:t>
      </w:r>
      <w:bookmarkEnd w:id="71"/>
    </w:p>
    <w:tbl>
      <w:tblPr>
        <w:tblStyle w:val="TableNormal"/>
        <w:tblW w:w="5000" w:type="pct"/>
        <w:tblLook w:val="04A0"/>
      </w:tblPr>
      <w:tblGrid>
        <w:gridCol w:w="696"/>
        <w:gridCol w:w="1508"/>
        <w:gridCol w:w="5334"/>
        <w:gridCol w:w="7255"/>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Fund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Category of region</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Calculation basis (total eligible expenditure or eligible public expenditure)</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Category of region for outermost regions and northern sparsely populated  regions (where applicable)</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Less developed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Pr="007C1D98" w:rsidR="005944B6">
              <w:rPr>
                <w:noProof/>
                <w:sz w:val="18"/>
                <w:szCs w:val="18"/>
              </w:rPr>
              <w:t>Public</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More developed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Pr="007C1D98" w:rsidR="005944B6">
              <w:rPr>
                <w:noProof/>
                <w:sz w:val="18"/>
                <w:szCs w:val="18"/>
              </w:rPr>
              <w:t>Public</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72" w:name="_Toc256000041"/>
      <w:r>
        <w:rPr>
          <w:noProof/>
        </w:rPr>
        <w:t>2.A.4 Investment priority</w:t>
      </w:r>
      <w:bookmarkEnd w:id="7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1218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 of the investment priority</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2a</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Title of the investment priority</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Extending broadband deployment and the roll-out of high-speed networks and supporting the adoption of emerging technologies and networks for the digital economy</w:t>
            </w:r>
          </w:p>
        </w:tc>
      </w:tr>
    </w:tbl>
    <w:p w:rsidR="008D5009" w:rsidP="008D5009">
      <w:pPr>
        <w:spacing w:before="0" w:after="0"/>
        <w:rPr>
          <w:sz w:val="22"/>
          <w:szCs w:val="22"/>
        </w:rPr>
      </w:pPr>
    </w:p>
    <w:p w:rsidR="008D5009" w:rsidRPr="00603402" w:rsidP="008D5009">
      <w:pPr>
        <w:pStyle w:val="ManualHeading2"/>
        <w:keepLines/>
        <w:spacing w:before="0" w:after="0"/>
      </w:pPr>
      <w:bookmarkStart w:id="73" w:name="_Toc256000042"/>
      <w:r>
        <w:rPr>
          <w:noProof/>
        </w:rPr>
        <w:t>2.A.5 Specific objectives corresponding to the investment priority and expected results</w:t>
      </w:r>
      <w:bookmarkEnd w:id="7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9"/>
        <w:gridCol w:w="9305"/>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 of the specific objective</w:t>
            </w:r>
          </w:p>
        </w:tc>
        <w:tc>
          <w:tcPr>
            <w:shd w:val="clear" w:color="auto" w:fill="auto"/>
          </w:tcPr>
          <w:p w:rsidR="008D5009" w:rsidRPr="00D6078B" w:rsidP="00426349">
            <w:pPr>
              <w:pStyle w:val="Text1"/>
              <w:spacing w:before="0" w:after="0"/>
              <w:ind w:left="0"/>
              <w:rPr>
                <w:b/>
                <w:sz w:val="18"/>
                <w:szCs w:val="18"/>
              </w:rPr>
            </w:pPr>
            <w:r>
              <w:rPr>
                <w:noProof/>
                <w:sz w:val="18"/>
                <w:szCs w:val="18"/>
              </w:rPr>
              <w:t>OS2.1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Title of the specific objective</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Extinderea și dezvoltarea infrastructurii de comunicații în bandă largă de mare viteză</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Results that the Member States seek to achieve with Union support</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Creșterea gradului de penetrare a infrastructurii de comunicații in bandă largă de mare viteză</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Table 3: Programme-specific result indicators, by specific objective</w:t>
      </w:r>
      <w:r>
        <w:rPr>
          <w:color w:val="000000"/>
        </w:rPr>
        <w:t xml:space="preserve"> </w:t>
      </w:r>
      <w:r>
        <w:rPr>
          <w:noProof/>
          <w:color w:val="000000"/>
        </w:rPr>
        <w:t>(for the ERDF and the Cohesion Fund)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
        <w:gridCol w:w="2991"/>
        <w:gridCol w:w="1438"/>
        <w:gridCol w:w="2580"/>
        <w:gridCol w:w="1164"/>
        <w:gridCol w:w="1104"/>
        <w:gridCol w:w="1511"/>
        <w:gridCol w:w="1814"/>
        <w:gridCol w:w="175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Specific objective</w:t>
            </w:r>
          </w:p>
        </w:tc>
        <w:tc>
          <w:tcPr>
            <w:gridSpan w:val="7"/>
            <w:shd w:val="clear" w:color="auto" w:fill="auto"/>
          </w:tcPr>
          <w:p w:rsidR="008D5009" w:rsidRPr="00D6078B" w:rsidP="00426349">
            <w:pPr>
              <w:spacing w:before="0" w:after="0"/>
              <w:rPr>
                <w:b/>
                <w:sz w:val="18"/>
                <w:szCs w:val="18"/>
              </w:rPr>
            </w:pPr>
            <w:r>
              <w:rPr>
                <w:b/>
                <w:noProof/>
                <w:sz w:val="18"/>
                <w:szCs w:val="18"/>
              </w:rPr>
              <w:t xml:space="preserve">OS2.1 - </w:t>
            </w:r>
            <w:r>
              <w:rPr>
                <w:b/>
                <w:noProof/>
                <w:sz w:val="18"/>
                <w:szCs w:val="18"/>
              </w:rPr>
              <w:t>Extinderea și dezvoltarea infrastructurii de comunicații în bandă largă de mare viteză</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w:t>
            </w:r>
          </w:p>
        </w:tc>
        <w:tc>
          <w:tcPr>
            <w:shd w:val="clear" w:color="auto" w:fill="auto"/>
          </w:tcPr>
          <w:p w:rsidR="008D5009" w:rsidRPr="00530EF1" w:rsidP="00426349">
            <w:pPr>
              <w:spacing w:before="0" w:after="0"/>
              <w:jc w:val="center"/>
              <w:rPr>
                <w:b/>
                <w:sz w:val="16"/>
                <w:szCs w:val="16"/>
              </w:rPr>
            </w:pPr>
            <w:r>
              <w:rPr>
                <w:b/>
                <w:noProof/>
                <w:color w:val="000000"/>
                <w:sz w:val="16"/>
                <w:szCs w:val="16"/>
              </w:rPr>
              <w:t>Indicator</w:t>
            </w:r>
          </w:p>
        </w:tc>
        <w:tc>
          <w:tcPr>
            <w:shd w:val="clear" w:color="auto" w:fill="auto"/>
          </w:tcPr>
          <w:p w:rsidR="008D5009" w:rsidRPr="00913A1A" w:rsidP="00426349">
            <w:pPr>
              <w:spacing w:before="0" w:after="0"/>
              <w:jc w:val="center"/>
              <w:rPr>
                <w:b/>
                <w:sz w:val="16"/>
                <w:szCs w:val="16"/>
              </w:rPr>
            </w:pPr>
            <w:r>
              <w:rPr>
                <w:b/>
                <w:noProof/>
                <w:color w:val="000000"/>
                <w:sz w:val="16"/>
                <w:szCs w:val="16"/>
              </w:rPr>
              <w:t>Measurement unit</w:t>
            </w:r>
          </w:p>
        </w:tc>
        <w:tc>
          <w:tcPr/>
          <w:p w:rsidR="008D5009" w:rsidRPr="007B722E" w:rsidP="00426349">
            <w:pPr>
              <w:spacing w:before="0" w:after="0"/>
              <w:jc w:val="center"/>
              <w:rPr>
                <w:b/>
                <w:color w:val="000000"/>
                <w:sz w:val="16"/>
                <w:szCs w:val="16"/>
              </w:rPr>
            </w:pPr>
            <w:r>
              <w:rPr>
                <w:b/>
                <w:noProof/>
                <w:color w:val="000000"/>
                <w:sz w:val="16"/>
                <w:szCs w:val="16"/>
              </w:rPr>
              <w:t>Category of region (where relevant)</w:t>
            </w:r>
          </w:p>
        </w:tc>
        <w:tc>
          <w:tcPr>
            <w:shd w:val="clear" w:color="auto" w:fill="auto"/>
          </w:tcPr>
          <w:p w:rsidR="008D5009" w:rsidRPr="007B722E" w:rsidP="00426349">
            <w:pPr>
              <w:spacing w:before="0" w:after="0"/>
              <w:jc w:val="center"/>
              <w:rPr>
                <w:b/>
                <w:sz w:val="16"/>
                <w:szCs w:val="16"/>
              </w:rPr>
            </w:pPr>
            <w:r>
              <w:rPr>
                <w:b/>
                <w:noProof/>
                <w:color w:val="000000"/>
                <w:sz w:val="16"/>
                <w:szCs w:val="16"/>
              </w:rPr>
              <w:t>Baseline value</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Baseline year</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Target value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Source of data</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Frequency of reporting</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3S8</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Acoperire/disponibilitate  în bandă largă NGA</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 gospodarii</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66.00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80.00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Digital Agenda Scoreboard</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Anual</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74" w:name="_Toc256000043"/>
      <w:r>
        <w:rPr>
          <w:noProof/>
        </w:rPr>
        <w:t>2.A.6 Action to be supported under the investment priority</w:t>
      </w:r>
      <w:r>
        <w:rPr>
          <w:b w:val="0"/>
        </w:rPr>
        <w:t xml:space="preserve"> </w:t>
      </w:r>
      <w:r>
        <w:rPr>
          <w:b w:val="0"/>
          <w:noProof/>
        </w:rPr>
        <w:t>(by investment priority)</w:t>
      </w:r>
      <w:bookmarkEnd w:id="74"/>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75" w:name="_Toc256000044"/>
      <w:r w:rsidRPr="0076169B">
        <w:rPr>
          <w:b/>
          <w:noProof/>
        </w:rPr>
        <w:t>2.A.6.1 Description of the type and examples of actions to be supported and their expected contribution to the specific objectives including, where appropriate, the identification of main target groups, specific territories targeted and types of beneficiaries</w:t>
      </w:r>
      <w:bookmarkEnd w:id="7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9"/>
        <w:gridCol w:w="1297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Investment priority</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2a - </w:t>
            </w:r>
            <w:r w:rsidRPr="0012385C">
              <w:rPr>
                <w:noProof/>
                <w:sz w:val="18"/>
                <w:szCs w:val="18"/>
              </w:rPr>
              <w:t>Extending broadband deployment and the roll-out of high-speed networks and supporting the adoption of emerging technologies and networks for the digital economy</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b/>
                <w:bCs/>
                <w:u w:val="single"/>
              </w:rPr>
              <w:t>Acțiunea 2.1.1 Îmbunătățirea infrastructurii în bandă largă și a accesului la internet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se adresează obiectivului specific “Extinderea și dezvoltarea infrastructurii de comunicații în bandă largă de mare viteză”.</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Tipuri de acţiuni/intervenţii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Investițiile publice în perioada 2014-2020 vor continua investițiile publice din perioada 2007-2013 şi se vor realiza în conformitate cu Planul Naţional pentru Dezvoltarea Infrastructurii NGN și Strategia Națională Agenda Digitală pentru România.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Prin urmare, în perioada următoare de programare se vor finanţa intervenţii în zonele albe NGN/NGA care să dezvolte aria de acoperire naţională a nodurilor de comunicaţii şi partea de transmisie a datelor (backbone şi blackhaul), prin lansarea de noi scheme de ajutor de stat și prin luarea de măsuri suplimentare pentru încurajarea investițiilor private în infrastructura în bandă largă de mare viteză.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Mai mult, ca parte a Strategiei Naționale Agenda Digitală pentru România, vor fi necesare măsuri pentru implementarea mecanismelor de monitorizare, modificări administrative și ale cadrului legal (privind autorizarea de construcție, eliminarea oricăror tarife suplimentare pentru exercitarea dreptului de acces, simplificarea procedurile de autorizare, etc).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 asemenea, sunt necesare măsuri pentru a accelera dezvoltarea rețelelor de comunicații în bandă largă și, în special, a rețelelor NGA, altele decât finanțarea directă a întreprinderilor, cum ar fi: încurajarea accesului la infrastructura existentă, îmbunătățirea transparenței și a coordonării în domeniul infrastructură/acces de generație viitoare.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Având în vedere faptul durata mare de implementare a proiectelor din cadrul acțiunii 2.1.1 este necesară pregătirea instituțională și strategică a acestora (sprijin POCA); astfel, au fost stabilite următoarele etape de implementare pentru </w:t>
            </w:r>
            <w:r>
              <w:rPr>
                <w:rFonts w:ascii="Times New Roman" w:eastAsia="Times New Roman" w:hAnsi="Times New Roman" w:cs="Times New Roman"/>
                <w:i/>
                <w:iCs/>
              </w:rPr>
              <w:t>Dezvoltarea infrastructurii NGN</w:t>
            </w:r>
            <w:r>
              <w:rPr>
                <w:rFonts w:ascii="Times New Roman" w:eastAsia="Times New Roman" w:hAnsi="Times New Roman" w:cs="Times New Roman"/>
              </w:rPr>
              <w:t xml:space="preserve"> (acoperirea zonelor albe cu rețele de comunicații în bandă largă de mare viteză)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Etapa 1: Finalizarea identificării zonelor albe NGN/NGA în care va putea fi dezvoltată infrastructura de mare viteză, pe baza informaţiilor furnizate de ANCOM  şi în urma consultării operatorilor privind planurile lor viitoare de investiții (responsabil MSI);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Etapa 2: Dezvoltarea cadrului legislativ și instituțional optim pentru încurajarea dezvoltării NGN/NGA, în special în ceea ce privește crearea unor condiții mai favorabile pentru investițiile mediului privat (responsabil MSI, proiect POCA).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Etapa 3: Stabilirea scopului intervenției publice prin POC şi a modelului operațional, luând in considerare ghidurile relevante elaborate de Comisia Europeană (autoritatea de management, Ministerul Societăţii Informaționale).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Etapa 4: Derularea licitațiilor de achiziție publică pentru achiziționarea serviciilor de consultanță pentru pregătirea proiectului/proiectelor (Ministerul Societăţii Informaționale, POC).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Etapa 5: Dezvoltarea infrastructurii în bandă largă de mare viteză de către contractorul/contractorii selectați prin procedura deschisă de achiziții publice (POC),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POC va finanța proiecte de infrastructură de comunicații electronice numai după ce lista de proiecte va fi elaborată conform planului de acțiune pentru îndeplinirea condiționalității ex-ante 2.1 (criteriul existenţa planului de investiții în infrastructură) şi a etapelor enumerate mai sus.</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Atingerea</w:t>
            </w:r>
            <w:r>
              <w:rPr>
                <w:rFonts w:ascii="Times New Roman" w:eastAsia="Times New Roman" w:hAnsi="Times New Roman" w:cs="Times New Roman"/>
                <w:b/>
                <w:bCs/>
                <w:i/>
                <w:iCs/>
              </w:rPr>
              <w:t xml:space="preserve"> rezultatelor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Obiectivul general de aplicare a acestor măsuri este de a asigura dezvoltarea infrastructurii și accesul la aceasta, pentru a permite utilizarea serviciilor TIC.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Introducerea conexiunii de tip NGA va oferi acces la internet pentru echipamente moderne TIC, precum și utilizarea de servicii publice online sofisticate într-un mod uniform din punct de vedere geografic. În afara accesului tip NGA, este importantă dezvoltarea rețelelor de generație viitoare (NGN) la nivel național.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Prin POC se urmărește acoperirea cu infrastructură în bandă largă NGN a aproximativ 800 de localități din zone albe, care se estimează că se pot servi aproximativ 300.000 de gospodării.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Beneficiari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Operatori economici sau autoritate publică centrală cu responsabilităţi în domeniul TIC ori parteneriate între aceştia.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Teritoriul acoperit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Acțiunile acoperă regiunile de dezvoltare mai puțin dezvoltate.</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76" w:name="_Toc256000045"/>
      <w:r>
        <w:rPr>
          <w:b/>
          <w:noProof/>
          <w:color w:val="000000"/>
        </w:rPr>
        <w:t>2.A.6.2 Guiding principles for selection of operations</w:t>
      </w:r>
      <w:bookmarkEnd w:id="7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9"/>
        <w:gridCol w:w="1297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Investment priority</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2a - </w:t>
            </w:r>
            <w:r w:rsidRPr="00C23AD8">
              <w:rPr>
                <w:noProof/>
                <w:color w:val="000000"/>
                <w:sz w:val="18"/>
                <w:szCs w:val="18"/>
              </w:rPr>
              <w:t>Extending broadband deployment and the roll-out of high-speed networks and supporting the adoption of emerging technologies and networks for the digital economy</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Ca principiu de selecţie a operaţiunilor, vor fi prioritizate acele iniţiative care vor propune activităţi de extindere a infrastructurii TIC în zonele cu acoperire redusă, care permit viteze de peste 30 Mbps. Se va urmări cu precădere acoperirea zonelor unde reţelele de mare viteză au un grad de acoperire foarte redus.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77" w:name="_Toc256000046"/>
      <w:r>
        <w:rPr>
          <w:b/>
          <w:noProof/>
        </w:rPr>
        <w:t>2.A.6.3 Planned use of financial instruments</w:t>
      </w:r>
      <w:r>
        <w:rPr>
          <w:b/>
        </w:rPr>
        <w:t xml:space="preserve"> </w:t>
      </w:r>
      <w:r>
        <w:rPr>
          <w:i w:val="0"/>
          <w:noProof/>
        </w:rPr>
        <w:t>(where appropriate)</w:t>
      </w:r>
      <w:bookmarkEnd w:id="7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9"/>
        <w:gridCol w:w="1297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Investment priority</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2a - </w:t>
            </w:r>
            <w:r w:rsidRPr="00420C06">
              <w:rPr>
                <w:noProof/>
                <w:sz w:val="18"/>
                <w:szCs w:val="18"/>
              </w:rPr>
              <w:t>Extending broadband deployment and the roll-out of high-speed networks and supporting the adoption of emerging technologies and networks for the digital economy</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78" w:name="_Toc256000047"/>
      <w:r w:rsidRPr="00164AE6">
        <w:rPr>
          <w:b/>
          <w:noProof/>
          <w:lang w:val="fr-BE"/>
        </w:rPr>
        <w:t>2.A.6.4 Planned use of major projects</w:t>
      </w:r>
      <w:r w:rsidRPr="00164AE6">
        <w:rPr>
          <w:i w:val="0"/>
          <w:lang w:val="fr-BE"/>
        </w:rPr>
        <w:t xml:space="preserve"> </w:t>
      </w:r>
      <w:r w:rsidRPr="00164AE6">
        <w:rPr>
          <w:i w:val="0"/>
          <w:noProof/>
          <w:lang w:val="fr-BE"/>
        </w:rPr>
        <w:t>(where appropriate)</w:t>
      </w:r>
      <w:bookmarkEnd w:id="7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9"/>
        <w:gridCol w:w="1297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Investment priority</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2a - </w:t>
            </w:r>
            <w:r w:rsidRPr="00420C06">
              <w:rPr>
                <w:noProof/>
                <w:sz w:val="18"/>
                <w:szCs w:val="18"/>
              </w:rPr>
              <w:t>Extending broadband deployment and the roll-out of high-speed networks and supporting the adoption of emerging technologies and networks for the digital economy</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PROIECTUL:  Ro-NET – Dezvoltarea infrastructurii de bandă largă în zone nedeservite (a fost împărţit în două faze)</w:t>
            </w:r>
          </w:p>
          <w:p>
            <w:pPr>
              <w:numPr>
                <w:ilvl w:val="0"/>
                <w:numId w:val="10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Este unul dintre cele mai mari proiecte de comunicații ce va fi implementat de România.</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Valoarea totală aprobată de 85,52 mil euro, din care contribuția CE este de 69,04 mil euro. În vederea finanțării proiectului din FEDR, implementarea Ro-NET a fost împărțită în două faze clar definite atât din punct de vedere fizic cât și financiar: o primă parte (faza I), cu un buget de 15,19 mil euro, din POS CCE 2007-2013, și o a doua parte (faza II), cu un buget de 53,85 mil. euro, din POC 2014-2020.</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Proiectul va realiza infrastructura de comunicații de 3265 Km pentru 783 de localități.</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Vor fi realizate 519 puncte de distribuție intermediare.</w:t>
            </w:r>
          </w:p>
          <w:p>
            <w:pPr>
              <w:numPr>
                <w:ilvl w:val="0"/>
                <w:numId w:val="10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130.000 de gospodării cu 400.000 de locuitori, 8500 de întreprinderi și 2800 de instituții publice vor putea să se conecteze la internet de mare viteză după implementarea proiectului.</w:t>
            </w:r>
          </w:p>
          <w:p>
            <w:pPr>
              <w:numPr>
                <w:ilvl w:val="0"/>
                <w:numId w:val="10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Infrastructura nou creată, care  va rămâne în proprietatea statului român este de peste 69 mil și va oferi acces deschis și nediscriminatoriu tuturor persoanelor.</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79" w:name="_Toc256000048"/>
      <w:r>
        <w:rPr>
          <w:b/>
          <w:noProof/>
          <w:color w:val="000000"/>
        </w:rPr>
        <w:t>2.A.6.5 Output indicators by investment priority and, where appropriate by category of region</w:t>
      </w:r>
      <w:bookmarkEnd w:id="79"/>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Table 5: Common and programme-specific output indicators</w:t>
      </w:r>
      <w:r>
        <w:rPr>
          <w:color w:val="000000"/>
        </w:rPr>
        <w:t xml:space="preserve"> </w:t>
      </w:r>
      <w:r>
        <w:rPr>
          <w:noProof/>
          <w:color w:val="000000"/>
        </w:rPr>
        <w:t>(by investment priority, broken down by category of region for the ESF, and where relevant, for the ERDF)</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4579"/>
        <w:gridCol w:w="1489"/>
        <w:gridCol w:w="645"/>
        <w:gridCol w:w="2670"/>
        <w:gridCol w:w="387"/>
        <w:gridCol w:w="396"/>
        <w:gridCol w:w="956"/>
        <w:gridCol w:w="1216"/>
        <w:gridCol w:w="181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80" w:name="_Toc256000049"/>
            <w:r>
              <w:rPr>
                <w:b/>
                <w:i w:val="0"/>
                <w:noProof/>
                <w:color w:val="000000"/>
                <w:sz w:val="16"/>
                <w:szCs w:val="16"/>
              </w:rPr>
              <w:t>Investment priority</w:t>
            </w:r>
            <w:bookmarkEnd w:id="80"/>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81" w:name="_Toc256000050"/>
            <w:r w:rsidRPr="005D6B15">
              <w:rPr>
                <w:b/>
                <w:i w:val="0"/>
                <w:noProof/>
                <w:color w:val="000000"/>
                <w:sz w:val="16"/>
                <w:szCs w:val="16"/>
              </w:rPr>
              <w:t xml:space="preserve">2a - </w:t>
            </w:r>
            <w:r w:rsidRPr="005D6B15">
              <w:rPr>
                <w:b/>
                <w:i w:val="0"/>
                <w:noProof/>
                <w:color w:val="000000"/>
                <w:sz w:val="16"/>
                <w:szCs w:val="16"/>
              </w:rPr>
              <w:t>Extending broadband deployment and the roll-out of high-speed networks and supporting the adoption of emerging technologies and networks for the digital economy</w:t>
            </w:r>
            <w:bookmarkEnd w:id="81"/>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Indicator</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Measurement unit</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Fund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Category of region (where relevant)</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Target value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Source of data</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Frequency of reporting</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W</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T</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CO10</w:t>
            </w:r>
          </w:p>
        </w:tc>
        <w:tc>
          <w:tcPr>
            <w:shd w:val="clear" w:color="auto" w:fill="auto"/>
          </w:tcPr>
          <w:p w:rsidR="008D5009" w:rsidRPr="00870D13" w:rsidP="00426349">
            <w:pPr>
              <w:spacing w:before="0" w:after="0"/>
              <w:rPr>
                <w:color w:val="000000"/>
                <w:sz w:val="16"/>
                <w:szCs w:val="16"/>
              </w:rPr>
            </w:pPr>
            <w:r>
              <w:rPr>
                <w:noProof/>
                <w:color w:val="000000"/>
                <w:sz w:val="16"/>
                <w:szCs w:val="16"/>
              </w:rPr>
              <w:t>ICT Infrastructure: Additional households with broadband access of at least 30 Mbps</w:t>
            </w:r>
          </w:p>
        </w:tc>
        <w:tc>
          <w:tcPr>
            <w:shd w:val="clear" w:color="auto" w:fill="auto"/>
          </w:tcPr>
          <w:p w:rsidR="008D5009" w:rsidRPr="00870D13" w:rsidP="00426349">
            <w:pPr>
              <w:spacing w:before="0" w:after="0"/>
              <w:rPr>
                <w:color w:val="000000"/>
                <w:sz w:val="16"/>
                <w:szCs w:val="16"/>
              </w:rPr>
            </w:pPr>
            <w:r>
              <w:rPr>
                <w:noProof/>
                <w:color w:val="000000"/>
                <w:sz w:val="16"/>
                <w:szCs w:val="16"/>
              </w:rPr>
              <w:t>Households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300,000.00</w:t>
            </w:r>
          </w:p>
        </w:tc>
        <w:tc>
          <w:tcPr>
            <w:shd w:val="clear" w:color="auto" w:fill="auto"/>
          </w:tcPr>
          <w:p w:rsidR="008D5009" w:rsidRPr="00870D13" w:rsidP="00426349">
            <w:pPr>
              <w:spacing w:before="0" w:after="0"/>
              <w:rPr>
                <w:color w:val="000000"/>
                <w:sz w:val="16"/>
                <w:szCs w:val="16"/>
              </w:rPr>
            </w:pPr>
            <w:r w:rsidRPr="00870D13">
              <w:rPr>
                <w:noProof/>
                <w:sz w:val="16"/>
                <w:szCs w:val="16"/>
              </w:rPr>
              <w:t>MSI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bl>
    <w:p w:rsidR="008D5009" w:rsidP="008D5009">
      <w:pPr>
        <w:pStyle w:val="Text1"/>
        <w:spacing w:before="0" w:after="0"/>
        <w:rPr>
          <w:i/>
        </w:rPr>
      </w:pPr>
    </w:p>
    <w:p w:rsidR="008D5009" w:rsidP="008D5009">
      <w:pPr>
        <w:pStyle w:val="ManualHeading2"/>
        <w:spacing w:before="0" w:after="0"/>
        <w:rPr>
          <w:sz w:val="20"/>
          <w:szCs w:val="20"/>
        </w:rPr>
      </w:pPr>
      <w:bookmarkStart w:id="82" w:name="_Toc256000051"/>
      <w:r>
        <w:rPr>
          <w:noProof/>
        </w:rPr>
        <w:t>2.A.4 Investment priority</w:t>
      </w:r>
      <w:bookmarkEnd w:id="8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33"/>
        <w:gridCol w:w="1044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 of the investment priority</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2b</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Title of the investment priority</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Developing ICT products and services, e-commerce and enhancing demand for ICT</w:t>
            </w:r>
          </w:p>
        </w:tc>
      </w:tr>
    </w:tbl>
    <w:p w:rsidR="008D5009" w:rsidP="008D5009">
      <w:pPr>
        <w:spacing w:before="0" w:after="0"/>
        <w:rPr>
          <w:sz w:val="22"/>
          <w:szCs w:val="22"/>
        </w:rPr>
      </w:pPr>
    </w:p>
    <w:p w:rsidR="008D5009" w:rsidRPr="00603402" w:rsidP="008D5009">
      <w:pPr>
        <w:pStyle w:val="ManualHeading2"/>
        <w:keepLines/>
        <w:spacing w:before="0" w:after="0"/>
      </w:pPr>
      <w:bookmarkStart w:id="83" w:name="_Toc256000052"/>
      <w:r>
        <w:rPr>
          <w:noProof/>
        </w:rPr>
        <w:t>2.A.5 Specific objectives corresponding to the investment priority and expected results</w:t>
      </w:r>
      <w:bookmarkEnd w:id="8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49"/>
        <w:gridCol w:w="8625"/>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 of the specific objective</w:t>
            </w:r>
          </w:p>
        </w:tc>
        <w:tc>
          <w:tcPr>
            <w:shd w:val="clear" w:color="auto" w:fill="auto"/>
          </w:tcPr>
          <w:p w:rsidR="008D5009" w:rsidRPr="00D6078B" w:rsidP="00426349">
            <w:pPr>
              <w:pStyle w:val="Text1"/>
              <w:spacing w:before="0" w:after="0"/>
              <w:ind w:left="0"/>
              <w:rPr>
                <w:b/>
                <w:sz w:val="18"/>
                <w:szCs w:val="18"/>
              </w:rPr>
            </w:pPr>
            <w:r>
              <w:rPr>
                <w:noProof/>
                <w:sz w:val="18"/>
                <w:szCs w:val="18"/>
              </w:rPr>
              <w:t>OS2.2</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Title of the specific objective</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Creșterea contribuției sectorului TIC pentru competitivitatea economică</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Results that the Member States seek to achieve with Union support</w:t>
            </w:r>
          </w:p>
        </w:tc>
        <w:tc>
          <w:tcPr>
            <w:shd w:val="clear" w:color="auto" w:fill="auto"/>
          </w:tcPr>
          <w:p>
            <w:pPr>
              <w:spacing w:before="0" w:after="240"/>
              <w:ind w:left="360"/>
              <w:jc w:val="left"/>
              <w:rPr>
                <w:rFonts w:ascii="Times New Roman" w:eastAsia="Times New Roman" w:hAnsi="Times New Roman" w:cs="Times New Roman"/>
              </w:rPr>
            </w:pPr>
            <w:r>
              <w:rPr>
                <w:rFonts w:ascii="Times New Roman" w:eastAsia="Times New Roman" w:hAnsi="Times New Roman" w:cs="Times New Roman"/>
              </w:rPr>
              <w:t>Creșterea valorii adăugate generate de produsele și serviciile TIC în PIB</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 of the specific objective</w:t>
            </w:r>
          </w:p>
        </w:tc>
        <w:tc>
          <w:tcPr>
            <w:shd w:val="clear" w:color="auto" w:fill="auto"/>
          </w:tcPr>
          <w:p w:rsidR="008D5009" w:rsidRPr="00D6078B" w:rsidP="00426349">
            <w:pPr>
              <w:pStyle w:val="Text1"/>
              <w:spacing w:before="0" w:after="0"/>
              <w:ind w:left="0"/>
              <w:rPr>
                <w:b/>
                <w:sz w:val="18"/>
                <w:szCs w:val="18"/>
              </w:rPr>
            </w:pPr>
            <w:r>
              <w:rPr>
                <w:noProof/>
                <w:sz w:val="18"/>
                <w:szCs w:val="18"/>
              </w:rPr>
              <w:t>OS2.5</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Title of the specific objective</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Atingerea de către IMM-uri a unui grad înalt de digitalizare</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Results that the Member States seek to achieve with Union support</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Creșterea productivității muncii în IMM-uri</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Table 3: Programme-specific result indicators, by specific objective</w:t>
      </w:r>
      <w:r>
        <w:rPr>
          <w:color w:val="000000"/>
        </w:rPr>
        <w:t xml:space="preserve"> </w:t>
      </w:r>
      <w:r>
        <w:rPr>
          <w:noProof/>
          <w:color w:val="000000"/>
        </w:rPr>
        <w:t>(for the ERDF and the Cohesion Fund)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
        <w:gridCol w:w="3284"/>
        <w:gridCol w:w="1484"/>
        <w:gridCol w:w="2662"/>
        <w:gridCol w:w="1202"/>
        <w:gridCol w:w="1140"/>
        <w:gridCol w:w="1559"/>
        <w:gridCol w:w="1215"/>
        <w:gridCol w:w="181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Specific objective</w:t>
            </w:r>
          </w:p>
        </w:tc>
        <w:tc>
          <w:tcPr>
            <w:gridSpan w:val="7"/>
            <w:shd w:val="clear" w:color="auto" w:fill="auto"/>
          </w:tcPr>
          <w:p w:rsidR="008D5009" w:rsidRPr="00D6078B" w:rsidP="00426349">
            <w:pPr>
              <w:spacing w:before="0" w:after="0"/>
              <w:rPr>
                <w:b/>
                <w:sz w:val="18"/>
                <w:szCs w:val="18"/>
              </w:rPr>
            </w:pPr>
            <w:r>
              <w:rPr>
                <w:b/>
                <w:noProof/>
                <w:sz w:val="18"/>
                <w:szCs w:val="18"/>
              </w:rPr>
              <w:t xml:space="preserve">OS2.2 - </w:t>
            </w:r>
            <w:r>
              <w:rPr>
                <w:b/>
                <w:noProof/>
                <w:sz w:val="18"/>
                <w:szCs w:val="18"/>
              </w:rPr>
              <w:t>Creșterea contribuției sectorului TIC pentru competitivitatea economică</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w:t>
            </w:r>
          </w:p>
        </w:tc>
        <w:tc>
          <w:tcPr>
            <w:shd w:val="clear" w:color="auto" w:fill="auto"/>
          </w:tcPr>
          <w:p w:rsidR="008D5009" w:rsidRPr="00530EF1" w:rsidP="00426349">
            <w:pPr>
              <w:spacing w:before="0" w:after="0"/>
              <w:jc w:val="center"/>
              <w:rPr>
                <w:b/>
                <w:sz w:val="16"/>
                <w:szCs w:val="16"/>
              </w:rPr>
            </w:pPr>
            <w:r>
              <w:rPr>
                <w:b/>
                <w:noProof/>
                <w:color w:val="000000"/>
                <w:sz w:val="16"/>
                <w:szCs w:val="16"/>
              </w:rPr>
              <w:t>Indicator</w:t>
            </w:r>
          </w:p>
        </w:tc>
        <w:tc>
          <w:tcPr>
            <w:shd w:val="clear" w:color="auto" w:fill="auto"/>
          </w:tcPr>
          <w:p w:rsidR="008D5009" w:rsidRPr="00913A1A" w:rsidP="00426349">
            <w:pPr>
              <w:spacing w:before="0" w:after="0"/>
              <w:jc w:val="center"/>
              <w:rPr>
                <w:b/>
                <w:sz w:val="16"/>
                <w:szCs w:val="16"/>
              </w:rPr>
            </w:pPr>
            <w:r>
              <w:rPr>
                <w:b/>
                <w:noProof/>
                <w:color w:val="000000"/>
                <w:sz w:val="16"/>
                <w:szCs w:val="16"/>
              </w:rPr>
              <w:t>Measurement unit</w:t>
            </w:r>
          </w:p>
        </w:tc>
        <w:tc>
          <w:tcPr/>
          <w:p w:rsidR="008D5009" w:rsidRPr="007B722E" w:rsidP="00426349">
            <w:pPr>
              <w:spacing w:before="0" w:after="0"/>
              <w:jc w:val="center"/>
              <w:rPr>
                <w:b/>
                <w:color w:val="000000"/>
                <w:sz w:val="16"/>
                <w:szCs w:val="16"/>
              </w:rPr>
            </w:pPr>
            <w:r>
              <w:rPr>
                <w:b/>
                <w:noProof/>
                <w:color w:val="000000"/>
                <w:sz w:val="16"/>
                <w:szCs w:val="16"/>
              </w:rPr>
              <w:t>Category of region (where relevant)</w:t>
            </w:r>
          </w:p>
        </w:tc>
        <w:tc>
          <w:tcPr>
            <w:shd w:val="clear" w:color="auto" w:fill="auto"/>
          </w:tcPr>
          <w:p w:rsidR="008D5009" w:rsidRPr="007B722E" w:rsidP="00426349">
            <w:pPr>
              <w:spacing w:before="0" w:after="0"/>
              <w:jc w:val="center"/>
              <w:rPr>
                <w:b/>
                <w:sz w:val="16"/>
                <w:szCs w:val="16"/>
              </w:rPr>
            </w:pPr>
            <w:r>
              <w:rPr>
                <w:b/>
                <w:noProof/>
                <w:color w:val="000000"/>
                <w:sz w:val="16"/>
                <w:szCs w:val="16"/>
              </w:rPr>
              <w:t>Baseline value</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Baseline year</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Target value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Source of data</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Frequency of reporting</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3S9</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Valoarea adăugată brută generată de sectorul TIC</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%PIB</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2.62</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INS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Anual</w:t>
            </w:r>
          </w:p>
        </w:tc>
      </w:tr>
    </w:tbl>
    <w:p w:rsidR="008D5009" w:rsidP="008D5009">
      <w:pPr>
        <w:spacing w:before="0" w:after="0"/>
        <w:rPr>
          <w:b/>
          <w:lang w:val="pt-PT"/>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2505"/>
        <w:gridCol w:w="1585"/>
        <w:gridCol w:w="2844"/>
        <w:gridCol w:w="1283"/>
        <w:gridCol w:w="1217"/>
        <w:gridCol w:w="1665"/>
        <w:gridCol w:w="1297"/>
        <w:gridCol w:w="193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Specific objective</w:t>
            </w:r>
          </w:p>
        </w:tc>
        <w:tc>
          <w:tcPr>
            <w:gridSpan w:val="7"/>
            <w:shd w:val="clear" w:color="auto" w:fill="auto"/>
          </w:tcPr>
          <w:p w:rsidR="008D5009" w:rsidRPr="00D6078B" w:rsidP="00426349">
            <w:pPr>
              <w:spacing w:before="0" w:after="0"/>
              <w:rPr>
                <w:b/>
                <w:sz w:val="18"/>
                <w:szCs w:val="18"/>
              </w:rPr>
            </w:pPr>
            <w:r>
              <w:rPr>
                <w:b/>
                <w:noProof/>
                <w:sz w:val="18"/>
                <w:szCs w:val="18"/>
              </w:rPr>
              <w:t xml:space="preserve">OS2.5 - </w:t>
            </w:r>
            <w:r>
              <w:rPr>
                <w:b/>
                <w:noProof/>
                <w:sz w:val="18"/>
                <w:szCs w:val="18"/>
              </w:rPr>
              <w:t>Atingerea de către IMM-uri a unui grad înalt de digitalizare</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w:t>
            </w:r>
          </w:p>
        </w:tc>
        <w:tc>
          <w:tcPr>
            <w:shd w:val="clear" w:color="auto" w:fill="auto"/>
          </w:tcPr>
          <w:p w:rsidR="008D5009" w:rsidRPr="00530EF1" w:rsidP="00426349">
            <w:pPr>
              <w:spacing w:before="0" w:after="0"/>
              <w:jc w:val="center"/>
              <w:rPr>
                <w:b/>
                <w:sz w:val="16"/>
                <w:szCs w:val="16"/>
              </w:rPr>
            </w:pPr>
            <w:r>
              <w:rPr>
                <w:b/>
                <w:noProof/>
                <w:color w:val="000000"/>
                <w:sz w:val="16"/>
                <w:szCs w:val="16"/>
              </w:rPr>
              <w:t>Indicator</w:t>
            </w:r>
          </w:p>
        </w:tc>
        <w:tc>
          <w:tcPr>
            <w:shd w:val="clear" w:color="auto" w:fill="auto"/>
          </w:tcPr>
          <w:p w:rsidR="008D5009" w:rsidRPr="00913A1A" w:rsidP="00426349">
            <w:pPr>
              <w:spacing w:before="0" w:after="0"/>
              <w:jc w:val="center"/>
              <w:rPr>
                <w:b/>
                <w:sz w:val="16"/>
                <w:szCs w:val="16"/>
              </w:rPr>
            </w:pPr>
            <w:r>
              <w:rPr>
                <w:b/>
                <w:noProof/>
                <w:color w:val="000000"/>
                <w:sz w:val="16"/>
                <w:szCs w:val="16"/>
              </w:rPr>
              <w:t>Measurement unit</w:t>
            </w:r>
          </w:p>
        </w:tc>
        <w:tc>
          <w:tcPr/>
          <w:p w:rsidR="008D5009" w:rsidRPr="007B722E" w:rsidP="00426349">
            <w:pPr>
              <w:spacing w:before="0" w:after="0"/>
              <w:jc w:val="center"/>
              <w:rPr>
                <w:b/>
                <w:color w:val="000000"/>
                <w:sz w:val="16"/>
                <w:szCs w:val="16"/>
              </w:rPr>
            </w:pPr>
            <w:r>
              <w:rPr>
                <w:b/>
                <w:noProof/>
                <w:color w:val="000000"/>
                <w:sz w:val="16"/>
                <w:szCs w:val="16"/>
              </w:rPr>
              <w:t>Category of region (where relevant)</w:t>
            </w:r>
          </w:p>
        </w:tc>
        <w:tc>
          <w:tcPr>
            <w:shd w:val="clear" w:color="auto" w:fill="auto"/>
          </w:tcPr>
          <w:p w:rsidR="008D5009" w:rsidRPr="007B722E" w:rsidP="00426349">
            <w:pPr>
              <w:spacing w:before="0" w:after="0"/>
              <w:jc w:val="center"/>
              <w:rPr>
                <w:b/>
                <w:sz w:val="16"/>
                <w:szCs w:val="16"/>
              </w:rPr>
            </w:pPr>
            <w:r>
              <w:rPr>
                <w:b/>
                <w:noProof/>
                <w:color w:val="000000"/>
                <w:sz w:val="16"/>
                <w:szCs w:val="16"/>
              </w:rPr>
              <w:t>Baseline value</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Baseline year</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Target value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Source of data</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Frequency of reporting</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1S4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Productivitatea muncii în IMM-uri</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LEI</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216,304.00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2012</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316,479.00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INS</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Anual</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84" w:name="_Toc256000053"/>
      <w:r>
        <w:rPr>
          <w:noProof/>
        </w:rPr>
        <w:t>2.A.6 Action to be supported under the investment priority</w:t>
      </w:r>
      <w:r>
        <w:rPr>
          <w:b w:val="0"/>
        </w:rPr>
        <w:t xml:space="preserve"> </w:t>
      </w:r>
      <w:r>
        <w:rPr>
          <w:b w:val="0"/>
          <w:noProof/>
        </w:rPr>
        <w:t>(by investment priority)</w:t>
      </w:r>
      <w:bookmarkEnd w:id="84"/>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85" w:name="_Toc256000054"/>
      <w:r w:rsidRPr="0076169B">
        <w:rPr>
          <w:b/>
          <w:noProof/>
        </w:rPr>
        <w:t>2.A.6.1 Description of the type and examples of actions to be supported and their expected contribution to the specific objectives including, where appropriate, the identification of main target groups, specific territories targeted and types of beneficiaries</w:t>
      </w:r>
      <w:bookmarkEnd w:id="8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1169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Investment priority</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2b - </w:t>
            </w:r>
            <w:r w:rsidRPr="0012385C">
              <w:rPr>
                <w:noProof/>
                <w:sz w:val="18"/>
                <w:szCs w:val="18"/>
              </w:rPr>
              <w:t>Developing ICT products and services, e-commerce and enhancing demand for ICT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b/>
                <w:bCs/>
                <w:u w:val="single"/>
              </w:rPr>
              <w:t>Acțiunea 2.2.1 Sprijinirea creșterii valorii adăugate generate de sectorul TIC și a inovării în domeniu prin dezvoltarea de clustere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se adresează obiectivului specific “Creșterea contribuției sectorului TIC pentru competitivitatea economică”.</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Tipuri</w:t>
            </w:r>
            <w:r>
              <w:rPr>
                <w:rFonts w:ascii="Times New Roman" w:eastAsia="Times New Roman" w:hAnsi="Times New Roman" w:cs="Times New Roman"/>
                <w:b/>
                <w:bCs/>
                <w:i/>
                <w:iCs/>
              </w:rPr>
              <w:t xml:space="preserve"> de acţiuni/intervenţii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Intervențiile ce vor fi susținute prin POC vor fi de două tipuri: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Sprijinirea dezvoltării a unor game de produse/servicii TIC cu aplicabilitate în restul economiei românești pentru integrarea pe verticală a soluțiilor TIC;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Sprijinirea proiectelor strategice inovative cu impact asupra dezvoltării întregii industrii de TIC la nivel național sau internațional.</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Atingerea rezultatelor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Deși sectorul TIC are o contribuție în creștere la dezvoltarea economiei românești, gradul de integrare, atât pe verticală (amonte-aval), cât și pe orizontală (soft-hard) este încă mult sub potențial. În general, atât colaborarea între companiile din domeniul TIC, cât și cea între companiile TIC și restul economiei românești, este foarte scăzută. Spre exemplu, mare parte din producția de software autohton se realizează în regim de outsourcing, ratând o posibilă contribuție cu produse și servicii TIC la dezvoltarea celorlalte sectoare ale economiei naționale.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Pe de altă parte industria TIC este concentrată în câteva aglomerări urbane semnificative - București, Cluj, Timișoara, Iași, Brașov, Craiova etc. Având în vedere această concentrare, există un potențial cert favorabil inițierii de clustere (SNC 2014-2020, secțiunea aferentă competitivității regionale), prin strângerea parteneriatelor tripartite între firmele TIC, instituții de CD /universități și respectiv administrația publică pentru crearea de clustere care să ducă la integrarea lanțurilor valorice la nivel local/regional/național. De altfel, astfel de structuri deja au demarat cu succes - ex: Clusterul IT Cluj.</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Structurile de tip cluster oferă nu doar un mediu propice dezvoltării antreprenoriale și inovării în TIC, ci și un cadru fertil pentru generarea de consorții care să promoveze oferta de produse și servicii TIC cu o forță pe care individual firmele nu o au (mai ales când este vorba de IMM).</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Beneficiari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Întreprinderi, consorţii de întreprinderi din cadrul clusterelor centrate pe domeniul TIC.</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Teritoriul acoperit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acopera intreg teritoriul national</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u w:val="single"/>
              </w:rPr>
              <w:t xml:space="preserve">Acțiunea 2.2.2. Digitalizarea IMM-urilor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se adresează obiectivului specific ”Atingerea de către IMM-uri a unui grad înalt de digitalizare”.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timp ce Revoluția digitală s-a produs la nivel global, criza COVID-19 a dus la recunoașterea largă a importanței transformării digitale pentru economie, precum și pentru capacitatea  de recuperare și reziliență viitoare a acesteia. Internet of Things, 5G, Big data, tehnologii blockchain și inteligența artificială ne pot ajuta să obținem o mai mare flexibilitate în lanțul de aprovizionare, creșterea securității datelor și consolidarea capacităților de muncă la distanță și automatizare. Tehnologiile digitale pot contribui de asemenea, în lupta pentru reducerea emisiilor de gaze cu efect de seră.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Conform studiilor efectuate de către Banca Europeană de Investiții, companiile extrem de digitalizate au făcut mult mai ușor să facă față crizei decât cele nedigitalizate. Pornind de la această experiență, este esențial pentru economia românească  accelerarea transformării digitale și construirea unei economii mai puternice, mai ecologice și mai reziliente.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acest context, industria românească rămâne, din păcate, sub potențialul său digital. Aceasta este valabila în special pentru întreprinderile mici și mijlocii, care din cauza nivelului ridicat de vulnerabilitate la șocurile de cerere și ofertă, au fost afectate în mod disproporționat de criză.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Astfel, a fost identificată această oportunitate prin digitalizare pentru  recuperarea și creștere economică viitoare prin digitalizare.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România, cheltuielile totale ale întreprinderilor mici și mijlocii privind digitalizarea și tehnologia informației și comunicațiilor sunt de 10 ori mai mici decât în statele din vestul Europei. Acest lucru este confirmat și de către Digital Economy and Society Index 2020 care, în Raportul integrarea tehnologiei digitale, clasifică România pe penultimul loc în cadrul UE: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23% dintre întreprinderile din România fac schimb electronic de informații, în timp ce doar 8% utilizează platformele de comunicare socială (media UE: 25%). S-a înregistrat o ușoară îmbunătățire a ponderii IMM-urilor care fac vânzări online, de la 8% în 2017 la 11% în 2019, dar aceasta rămâne cu mult sub media UE de 18%. Din ce în ce mai multe IMM-uri își vând produsele online în afara țării, dar această situație se aplică doar pentru 6% din numărul total de IMM-uri, comparativ cu o medie a UE de 8%.</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Programele naționale care au avut și componentă de digitalizare (Start-up Nation) și regionale (POR Axa 2) sunt o sursă importantă de finanțare pentru proiectele digitale ale întreprinderilor. Cu toate acestea, utilizarea acestor programe este limitată deoarece a existat o lipsă de conștientizare a companiilor cu privire la aceste surse de finanțare și din cauza percepției cu privire la complexitatea și durata procesului de implementare a proiectelor. Odată cu apariția pandemiei, acestea au început să conștientizeze necesitatea digitalizării activității, cu tot ceea ce implică aceasta transformare (Internet of Things, 5G, Big data, tehnologii blockchain, inteligența artificială, consolidarea capacităților de muncă la distanță și automatizare).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Mai mult decât atât, finanțarea proiectelor digitale este limitată de creditarea limitată oferită din partea  băncilor.  La această lipsă de finanțare contribuie și natura intrinsecă a proiectelor digitale care îngreunează mult accesul IMM-urilor din România la finanțare. Chiar dacă băncile pot acționa ca o sursă principală de finanțare pentru digitalizare, de multe ori le lipsește expertiza evaluării corecte a proiectelor digitale.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acest context, in cadrul Axei Prioritare 2 din Programul Operațional Competitivitate, se va crea o nou acțiune care va finanța digitalizarea întreprinderilor printr-o schemă de ajutor de stat având ca furnizor Ministerul Fondurilor Europene prin AMPOC, administrator Autoritatea de Digitalizare a României prin OIPSI și subadministratori Agențiile de Dezvoltare Regionale.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Bugetul alocat este de   16.723.642,44 euro FEDR.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urma implementării acestor proiecte, beneficiarii vor putea să:</w:t>
            </w:r>
          </w:p>
          <w:p>
            <w:pPr>
              <w:numPr>
                <w:ilvl w:val="0"/>
                <w:numId w:val="10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Vândă produse și servicii prin intermediul website-urilor cu funcționalități complexe/aplicațiilor proprii;</w:t>
            </w:r>
          </w:p>
          <w:p>
            <w:pPr>
              <w:numPr>
                <w:ilvl w:val="0"/>
                <w:numId w:val="1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Integreze toate informațiile din întreprindere într-o platformă unică prin intermediul unui sistem de planificare a resurselor întreprinderii (ERP);</w:t>
            </w:r>
          </w:p>
          <w:p>
            <w:pPr>
              <w:numPr>
                <w:ilvl w:val="0"/>
                <w:numId w:val="1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implementeze un sistem de gestiune a relației cu clienții (CRM) care vor include activitățile aferente departamentelor de marketing, vânzări, financiar și suport tehnic relativ la clienți, potențiali clienți, furnizori și parteneri;</w:t>
            </w:r>
          </w:p>
          <w:p>
            <w:pPr>
              <w:numPr>
                <w:ilvl w:val="0"/>
                <w:numId w:val="109"/>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transmită e-facturi;</w:t>
            </w:r>
          </w:p>
          <w:p>
            <w:pPr>
              <w:numPr>
                <w:ilvl w:val="0"/>
                <w:numId w:val="10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ofere persoanelor angajate un acces la distanță la sistemul de e-mail, documente sau aplicații ale întreprinderii;</w:t>
            </w:r>
          </w:p>
          <w:p>
            <w:pPr>
              <w:numPr>
                <w:ilvl w:val="0"/>
                <w:numId w:val="11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achiziționeze servicii cloud computing etc.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Altfel, se vor finanța următoarele tipuri de cheltuieli:</w:t>
            </w:r>
          </w:p>
          <w:p>
            <w:pPr>
              <w:numPr>
                <w:ilvl w:val="0"/>
                <w:numId w:val="11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hardware TIC și a altor dispozitive aferente (inclusiv cheltuieli de instalare, configurare, punere în funcțiune) etc.;</w:t>
            </w:r>
          </w:p>
          <w:p>
            <w:pPr>
              <w:numPr>
                <w:ilvl w:val="0"/>
                <w:numId w:val="11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achiziția și/sau dezvoltarea aplicațiilor software/licențelor necesare implementării proiectului, configurarea și implementarea bazelor de date, migrarea și integrarea diverselor structuri de date existente, achiziționarea și implementarea de soluții de semnătură electronică, inclusiv resurse de stocare si procesare etc.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Pentru ADR-uri vor fi eligibile cheltuieli indirecte, costurile cu personalul pentru implementarea și monitorizarea apelului de proiecte.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Beneficiari: </w:t>
            </w:r>
            <w:r>
              <w:rPr>
                <w:rFonts w:ascii="Times New Roman" w:eastAsia="Times New Roman" w:hAnsi="Times New Roman" w:cs="Times New Roman"/>
              </w:rPr>
              <w:t>Agențiile de Dezvoltare Regionale.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Beneficiari finali ai ajutorului de stat</w:t>
            </w:r>
            <w:r>
              <w:rPr>
                <w:rFonts w:ascii="Times New Roman" w:eastAsia="Times New Roman" w:hAnsi="Times New Roman" w:cs="Times New Roman"/>
              </w:rPr>
              <w:t>: IMM-urile în calitate de beneficiari finali ai ajutorului de stat.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Teritoriul acoperit: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acoperă întreg teritoriul național.</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Eligibilitatea beneficiarilor: </w:t>
            </w:r>
            <w:r>
              <w:rPr>
                <w:rFonts w:ascii="Times New Roman" w:eastAsia="Times New Roman" w:hAnsi="Times New Roman" w:cs="Times New Roman"/>
              </w:rPr>
              <w:t>Solicitantul ajutorului de stat trebuie să fie IMM care desfășoară activitatea in alte domenii decât TIC.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86" w:name="_Toc256000055"/>
      <w:r>
        <w:rPr>
          <w:b/>
          <w:noProof/>
          <w:color w:val="000000"/>
        </w:rPr>
        <w:t>2.A.6.2 Guiding principles for selection of operations</w:t>
      </w:r>
      <w:bookmarkEnd w:id="8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1169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Investment priority</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2b - </w:t>
            </w:r>
            <w:r w:rsidRPr="00C23AD8">
              <w:rPr>
                <w:noProof/>
                <w:color w:val="000000"/>
                <w:sz w:val="18"/>
                <w:szCs w:val="18"/>
              </w:rPr>
              <w:t>Developing ICT products and services, e-commerce and enhancing demand for ICT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Vor fi selectate operațiuni propuse în cadrul clusterelor TIC care demonstrează impactul strategic la nivel național/internațional pentru Acțiunea 2.2.1.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Pentru Acțiunea 2.2.2..solicitanții eligibili trebuie să fie IMM-uri care desfășoară activitatea in alte domenii decât TIC.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Principiile şi criteriile de selecție vor fi elaborate în urma consultării potențialilor beneficiari (firme sau asociații de firme din domeniul producției IT care funcționează in Romania, potențiali beneficiari ai acestor firme, etc) şi vor fi supuse dezbaterii comitetului de monitorizare.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Totodată, în cazul în care sprijinul FEDR este acordat unei întreprinderi mari, autoritatea de management sa va asigura că proiectul nu derivă din, sau nu implică delocalizarea unor activităţi similare dintr-un alt stat membru UE implicând o reducere substanțială de locuri de muncă.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Sprijinul public (FEDR și fonduri publice naționale) acordat în cadrul acestui program respectă normele de procedură în materia ajutorului de stat aplicabile la momentul de timp când se acordă sprijinul public.</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87" w:name="_Toc256000056"/>
      <w:r>
        <w:rPr>
          <w:b/>
          <w:noProof/>
        </w:rPr>
        <w:t>2.A.6.3 Planned use of financial instruments</w:t>
      </w:r>
      <w:r>
        <w:rPr>
          <w:b/>
        </w:rPr>
        <w:t xml:space="preserve"> </w:t>
      </w:r>
      <w:r>
        <w:rPr>
          <w:i w:val="0"/>
          <w:noProof/>
        </w:rPr>
        <w:t>(where appropriate)</w:t>
      </w:r>
      <w:bookmarkEnd w:id="8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1169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Investment priority</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2b - </w:t>
            </w:r>
            <w:r w:rsidRPr="00420C06">
              <w:rPr>
                <w:noProof/>
                <w:sz w:val="18"/>
                <w:szCs w:val="18"/>
              </w:rPr>
              <w:t>Developing ICT products and services, e-commerce and enhancing demand for ICT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88" w:name="_Toc256000057"/>
      <w:r w:rsidRPr="00164AE6">
        <w:rPr>
          <w:b/>
          <w:noProof/>
          <w:lang w:val="fr-BE"/>
        </w:rPr>
        <w:t>2.A.6.4 Planned use of major projects</w:t>
      </w:r>
      <w:r w:rsidRPr="00164AE6">
        <w:rPr>
          <w:i w:val="0"/>
          <w:lang w:val="fr-BE"/>
        </w:rPr>
        <w:t xml:space="preserve"> </w:t>
      </w:r>
      <w:r w:rsidRPr="00164AE6">
        <w:rPr>
          <w:i w:val="0"/>
          <w:noProof/>
          <w:lang w:val="fr-BE"/>
        </w:rPr>
        <w:t>(where appropriate)</w:t>
      </w:r>
      <w:bookmarkEnd w:id="8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0"/>
        <w:gridCol w:w="1169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Investment priority</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2b - </w:t>
            </w:r>
            <w:r w:rsidRPr="00420C06">
              <w:rPr>
                <w:noProof/>
                <w:sz w:val="18"/>
                <w:szCs w:val="18"/>
              </w:rPr>
              <w:t>Developing ICT products and services, e-commerce and enhancing demand for ICT</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89" w:name="_Toc256000058"/>
      <w:r>
        <w:rPr>
          <w:b/>
          <w:noProof/>
          <w:color w:val="000000"/>
        </w:rPr>
        <w:t>2.A.6.5 Output indicators by investment priority and, where appropriate by category of region</w:t>
      </w:r>
      <w:bookmarkEnd w:id="89"/>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Table 5: Common and programme-specific output indicators</w:t>
      </w:r>
      <w:r>
        <w:rPr>
          <w:color w:val="000000"/>
        </w:rPr>
        <w:t xml:space="preserve"> </w:t>
      </w:r>
      <w:r>
        <w:rPr>
          <w:noProof/>
          <w:color w:val="000000"/>
        </w:rPr>
        <w:t>(by investment priority, broken down by category of region for the ESF, and where relevant, for the ERDF)</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4"/>
        <w:gridCol w:w="4456"/>
        <w:gridCol w:w="1533"/>
        <w:gridCol w:w="662"/>
        <w:gridCol w:w="2750"/>
        <w:gridCol w:w="427"/>
        <w:gridCol w:w="437"/>
        <w:gridCol w:w="746"/>
        <w:gridCol w:w="1255"/>
        <w:gridCol w:w="187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90" w:name="_Toc256000059"/>
            <w:r>
              <w:rPr>
                <w:b/>
                <w:i w:val="0"/>
                <w:noProof/>
                <w:color w:val="000000"/>
                <w:sz w:val="16"/>
                <w:szCs w:val="16"/>
              </w:rPr>
              <w:t>Investment priority</w:t>
            </w:r>
            <w:bookmarkEnd w:id="90"/>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91" w:name="_Toc256000060"/>
            <w:r w:rsidRPr="005D6B15">
              <w:rPr>
                <w:b/>
                <w:i w:val="0"/>
                <w:noProof/>
                <w:color w:val="000000"/>
                <w:sz w:val="16"/>
                <w:szCs w:val="16"/>
              </w:rPr>
              <w:t xml:space="preserve">2b - </w:t>
            </w:r>
            <w:r w:rsidRPr="005D6B15">
              <w:rPr>
                <w:b/>
                <w:i w:val="0"/>
                <w:noProof/>
                <w:color w:val="000000"/>
                <w:sz w:val="16"/>
                <w:szCs w:val="16"/>
              </w:rPr>
              <w:t>Developing ICT products and services, e-commerce and enhancing demand for ICT</w:t>
            </w:r>
            <w:bookmarkEnd w:id="91"/>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Indicator</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Measurement unit</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Fund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Category of region (where relevant)</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Target value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Source of data</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Frequency of reporting</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W</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T</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Produse și servicii TIC inovative susținute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Produse/servicii</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33.00</w:t>
            </w:r>
          </w:p>
        </w:tc>
        <w:tc>
          <w:tcPr>
            <w:shd w:val="clear" w:color="auto" w:fill="auto"/>
          </w:tcPr>
          <w:p w:rsidR="008D5009" w:rsidRPr="00870D13" w:rsidP="00426349">
            <w:pPr>
              <w:spacing w:before="0" w:after="0"/>
              <w:rPr>
                <w:color w:val="000000"/>
                <w:sz w:val="16"/>
                <w:szCs w:val="16"/>
              </w:rPr>
            </w:pPr>
            <w:r w:rsidRPr="00870D13">
              <w:rPr>
                <w:noProof/>
                <w:sz w:val="16"/>
                <w:szCs w:val="16"/>
              </w:rPr>
              <w:t>MSI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CO01</w:t>
            </w:r>
          </w:p>
        </w:tc>
        <w:tc>
          <w:tcPr>
            <w:shd w:val="clear" w:color="auto" w:fill="auto"/>
          </w:tcPr>
          <w:p w:rsidR="008D5009" w:rsidRPr="00870D13" w:rsidP="00426349">
            <w:pPr>
              <w:spacing w:before="0" w:after="0"/>
              <w:rPr>
                <w:color w:val="000000"/>
                <w:sz w:val="16"/>
                <w:szCs w:val="16"/>
              </w:rPr>
            </w:pPr>
            <w:r>
              <w:rPr>
                <w:noProof/>
                <w:color w:val="000000"/>
                <w:sz w:val="16"/>
                <w:szCs w:val="16"/>
              </w:rPr>
              <w:t>Productive investment: Number of enterprises receiving support</w:t>
            </w:r>
          </w:p>
        </w:tc>
        <w:tc>
          <w:tcPr>
            <w:shd w:val="clear" w:color="auto" w:fill="auto"/>
          </w:tcPr>
          <w:p w:rsidR="008D5009" w:rsidRPr="00870D13" w:rsidP="00426349">
            <w:pPr>
              <w:spacing w:before="0" w:after="0"/>
              <w:rPr>
                <w:color w:val="000000"/>
                <w:sz w:val="16"/>
                <w:szCs w:val="16"/>
              </w:rPr>
            </w:pPr>
            <w:r>
              <w:rPr>
                <w:noProof/>
                <w:color w:val="000000"/>
                <w:sz w:val="16"/>
                <w:szCs w:val="16"/>
              </w:rPr>
              <w:t>Enterprises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225.00</w:t>
            </w:r>
          </w:p>
        </w:tc>
        <w:tc>
          <w:tcPr>
            <w:shd w:val="clear" w:color="auto" w:fill="auto"/>
          </w:tcPr>
          <w:p w:rsidR="008D5009" w:rsidRPr="00870D13" w:rsidP="00426349">
            <w:pPr>
              <w:spacing w:before="0" w:after="0"/>
              <w:rPr>
                <w:color w:val="000000"/>
                <w:sz w:val="16"/>
                <w:szCs w:val="16"/>
              </w:rPr>
            </w:pPr>
            <w:r w:rsidRPr="00870D13">
              <w:rPr>
                <w:noProof/>
                <w:sz w:val="16"/>
                <w:szCs w:val="16"/>
              </w:rPr>
              <w:t>MEEMA</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CO02</w:t>
            </w:r>
          </w:p>
        </w:tc>
        <w:tc>
          <w:tcPr>
            <w:shd w:val="clear" w:color="auto" w:fill="auto"/>
          </w:tcPr>
          <w:p w:rsidR="008D5009" w:rsidRPr="00870D13" w:rsidP="00426349">
            <w:pPr>
              <w:spacing w:before="0" w:after="0"/>
              <w:rPr>
                <w:color w:val="000000"/>
                <w:sz w:val="16"/>
                <w:szCs w:val="16"/>
              </w:rPr>
            </w:pPr>
            <w:r>
              <w:rPr>
                <w:noProof/>
                <w:color w:val="000000"/>
                <w:sz w:val="16"/>
                <w:szCs w:val="16"/>
              </w:rPr>
              <w:t>Productive investment: Number of enterprises receiving grants</w:t>
            </w:r>
          </w:p>
        </w:tc>
        <w:tc>
          <w:tcPr>
            <w:shd w:val="clear" w:color="auto" w:fill="auto"/>
          </w:tcPr>
          <w:p w:rsidR="008D5009" w:rsidRPr="00870D13" w:rsidP="00426349">
            <w:pPr>
              <w:spacing w:before="0" w:after="0"/>
              <w:rPr>
                <w:color w:val="000000"/>
                <w:sz w:val="16"/>
                <w:szCs w:val="16"/>
              </w:rPr>
            </w:pPr>
            <w:r>
              <w:rPr>
                <w:noProof/>
                <w:color w:val="000000"/>
                <w:sz w:val="16"/>
                <w:szCs w:val="16"/>
              </w:rPr>
              <w:t>Enterprises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225.00</w:t>
            </w:r>
          </w:p>
        </w:tc>
        <w:tc>
          <w:tcPr>
            <w:shd w:val="clear" w:color="auto" w:fill="auto"/>
          </w:tcPr>
          <w:p w:rsidR="008D5009" w:rsidRPr="00870D13" w:rsidP="00426349">
            <w:pPr>
              <w:spacing w:before="0" w:after="0"/>
              <w:rPr>
                <w:color w:val="000000"/>
                <w:sz w:val="16"/>
                <w:szCs w:val="16"/>
              </w:rPr>
            </w:pPr>
            <w:r w:rsidRPr="00870D13">
              <w:rPr>
                <w:noProof/>
                <w:sz w:val="16"/>
                <w:szCs w:val="16"/>
              </w:rPr>
              <w:t>MEEMA</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3S11</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Produse și servicii TIC inovative susținute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Produse/servicii</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12.00</w:t>
            </w:r>
          </w:p>
        </w:tc>
        <w:tc>
          <w:tcPr>
            <w:shd w:val="clear" w:color="auto" w:fill="auto"/>
          </w:tcPr>
          <w:p w:rsidR="008D5009" w:rsidRPr="00870D13" w:rsidP="00426349">
            <w:pPr>
              <w:spacing w:before="0" w:after="0"/>
              <w:rPr>
                <w:color w:val="000000"/>
                <w:sz w:val="16"/>
                <w:szCs w:val="16"/>
              </w:rPr>
            </w:pPr>
            <w:r w:rsidRPr="00870D13">
              <w:rPr>
                <w:noProof/>
                <w:sz w:val="16"/>
                <w:szCs w:val="16"/>
              </w:rPr>
              <w:t>MSI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CO01</w:t>
            </w:r>
          </w:p>
        </w:tc>
        <w:tc>
          <w:tcPr>
            <w:shd w:val="clear" w:color="auto" w:fill="auto"/>
          </w:tcPr>
          <w:p w:rsidR="008D5009" w:rsidRPr="00870D13" w:rsidP="00426349">
            <w:pPr>
              <w:spacing w:before="0" w:after="0"/>
              <w:rPr>
                <w:color w:val="000000"/>
                <w:sz w:val="16"/>
                <w:szCs w:val="16"/>
              </w:rPr>
            </w:pPr>
            <w:r>
              <w:rPr>
                <w:noProof/>
                <w:color w:val="000000"/>
                <w:sz w:val="16"/>
                <w:szCs w:val="16"/>
              </w:rPr>
              <w:t>Productive investment: Number of enterprises receiving support</w:t>
            </w:r>
          </w:p>
        </w:tc>
        <w:tc>
          <w:tcPr>
            <w:shd w:val="clear" w:color="auto" w:fill="auto"/>
          </w:tcPr>
          <w:p w:rsidR="008D5009" w:rsidRPr="00870D13" w:rsidP="00426349">
            <w:pPr>
              <w:spacing w:before="0" w:after="0"/>
              <w:rPr>
                <w:color w:val="000000"/>
                <w:sz w:val="16"/>
                <w:szCs w:val="16"/>
              </w:rPr>
            </w:pPr>
            <w:r>
              <w:rPr>
                <w:noProof/>
                <w:color w:val="000000"/>
                <w:sz w:val="16"/>
                <w:szCs w:val="16"/>
              </w:rPr>
              <w:t>Enterprises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32.00</w:t>
            </w:r>
          </w:p>
        </w:tc>
        <w:tc>
          <w:tcPr>
            <w:shd w:val="clear" w:color="auto" w:fill="auto"/>
          </w:tcPr>
          <w:p w:rsidR="008D5009" w:rsidRPr="00870D13" w:rsidP="00426349">
            <w:pPr>
              <w:spacing w:before="0" w:after="0"/>
              <w:rPr>
                <w:color w:val="000000"/>
                <w:sz w:val="16"/>
                <w:szCs w:val="16"/>
              </w:rPr>
            </w:pPr>
            <w:r w:rsidRPr="00870D13">
              <w:rPr>
                <w:noProof/>
                <w:sz w:val="16"/>
                <w:szCs w:val="16"/>
              </w:rPr>
              <w:t>MEEMA</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CO02</w:t>
            </w:r>
          </w:p>
        </w:tc>
        <w:tc>
          <w:tcPr>
            <w:shd w:val="clear" w:color="auto" w:fill="auto"/>
          </w:tcPr>
          <w:p w:rsidR="008D5009" w:rsidRPr="00870D13" w:rsidP="00426349">
            <w:pPr>
              <w:spacing w:before="0" w:after="0"/>
              <w:rPr>
                <w:color w:val="000000"/>
                <w:sz w:val="16"/>
                <w:szCs w:val="16"/>
              </w:rPr>
            </w:pPr>
            <w:r>
              <w:rPr>
                <w:noProof/>
                <w:color w:val="000000"/>
                <w:sz w:val="16"/>
                <w:szCs w:val="16"/>
              </w:rPr>
              <w:t>Productive investment: Number of enterprises receiving grants</w:t>
            </w:r>
          </w:p>
        </w:tc>
        <w:tc>
          <w:tcPr>
            <w:shd w:val="clear" w:color="auto" w:fill="auto"/>
          </w:tcPr>
          <w:p w:rsidR="008D5009" w:rsidRPr="00870D13" w:rsidP="00426349">
            <w:pPr>
              <w:spacing w:before="0" w:after="0"/>
              <w:rPr>
                <w:color w:val="000000"/>
                <w:sz w:val="16"/>
                <w:szCs w:val="16"/>
              </w:rPr>
            </w:pPr>
            <w:r>
              <w:rPr>
                <w:noProof/>
                <w:color w:val="000000"/>
                <w:sz w:val="16"/>
                <w:szCs w:val="16"/>
              </w:rPr>
              <w:t>Enterprises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32.00</w:t>
            </w:r>
          </w:p>
        </w:tc>
        <w:tc>
          <w:tcPr>
            <w:shd w:val="clear" w:color="auto" w:fill="auto"/>
          </w:tcPr>
          <w:p w:rsidR="008D5009" w:rsidRPr="00870D13" w:rsidP="00426349">
            <w:pPr>
              <w:spacing w:before="0" w:after="0"/>
              <w:rPr>
                <w:color w:val="000000"/>
                <w:sz w:val="16"/>
                <w:szCs w:val="16"/>
              </w:rPr>
            </w:pPr>
            <w:r w:rsidRPr="00870D13">
              <w:rPr>
                <w:noProof/>
                <w:sz w:val="16"/>
                <w:szCs w:val="16"/>
              </w:rPr>
              <w:t>MEEMA</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bl>
    <w:p w:rsidR="008D5009" w:rsidP="008D5009">
      <w:pPr>
        <w:pStyle w:val="Text1"/>
        <w:spacing w:before="0" w:after="0"/>
        <w:rPr>
          <w:i/>
        </w:rPr>
      </w:pPr>
    </w:p>
    <w:p w:rsidR="008D5009" w:rsidP="008D5009">
      <w:pPr>
        <w:pStyle w:val="ManualHeading2"/>
        <w:spacing w:before="0" w:after="0"/>
        <w:rPr>
          <w:sz w:val="20"/>
          <w:szCs w:val="20"/>
        </w:rPr>
      </w:pPr>
      <w:bookmarkStart w:id="92" w:name="_Toc256000061"/>
      <w:r>
        <w:rPr>
          <w:noProof/>
        </w:rPr>
        <w:t>2.A.4 Investment priority</w:t>
      </w:r>
      <w:bookmarkEnd w:id="9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0"/>
        <w:gridCol w:w="1083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 of the investment priority</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2c</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Title of the investment priority</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Strengthening ICT applications for e-government, e-learning, e-inclusion, e-culture and e-health</w:t>
            </w:r>
          </w:p>
        </w:tc>
      </w:tr>
    </w:tbl>
    <w:p w:rsidR="008D5009" w:rsidP="008D5009">
      <w:pPr>
        <w:spacing w:before="0" w:after="0"/>
        <w:rPr>
          <w:sz w:val="22"/>
          <w:szCs w:val="22"/>
        </w:rPr>
      </w:pPr>
    </w:p>
    <w:p w:rsidR="008D5009" w:rsidRPr="00603402" w:rsidP="008D5009">
      <w:pPr>
        <w:pStyle w:val="ManualHeading2"/>
        <w:keepLines/>
        <w:spacing w:before="0" w:after="0"/>
      </w:pPr>
      <w:bookmarkStart w:id="93" w:name="_Toc256000062"/>
      <w:r>
        <w:rPr>
          <w:noProof/>
        </w:rPr>
        <w:t>2.A.5 Specific objectives corresponding to the investment priority and expected results</w:t>
      </w:r>
      <w:bookmarkEnd w:id="9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1"/>
        <w:gridCol w:w="9843"/>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 of the specific objective</w:t>
            </w:r>
          </w:p>
        </w:tc>
        <w:tc>
          <w:tcPr>
            <w:shd w:val="clear" w:color="auto" w:fill="auto"/>
          </w:tcPr>
          <w:p w:rsidR="008D5009" w:rsidRPr="00D6078B" w:rsidP="00426349">
            <w:pPr>
              <w:pStyle w:val="Text1"/>
              <w:spacing w:before="0" w:after="0"/>
              <w:ind w:left="0"/>
              <w:rPr>
                <w:b/>
                <w:sz w:val="18"/>
                <w:szCs w:val="18"/>
              </w:rPr>
            </w:pPr>
            <w:r>
              <w:rPr>
                <w:noProof/>
                <w:sz w:val="18"/>
                <w:szCs w:val="18"/>
              </w:rPr>
              <w:t>OS2.3</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Title of the specific objective</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Creșterea utilizării sistemelor de e-guvernare</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Results that the Member States seek to achieve with Union support</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Dezvoltarea serviciilor de e-guvernare pentru 36 de evenimente din viața cetățenilor și a mediului de afaceri  </w:t>
            </w:r>
          </w:p>
          <w:p w:rsidR="008D5009" w:rsidRPr="00D6078B" w:rsidP="00426349">
            <w:pPr>
              <w:pStyle w:val="Text1"/>
              <w:spacing w:before="0" w:after="0"/>
              <w:ind w:left="0"/>
              <w:rPr>
                <w:sz w:val="18"/>
                <w:szCs w:val="18"/>
              </w:rPr>
            </w:pP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 of the specific objective</w:t>
            </w:r>
          </w:p>
        </w:tc>
        <w:tc>
          <w:tcPr>
            <w:shd w:val="clear" w:color="auto" w:fill="auto"/>
          </w:tcPr>
          <w:p w:rsidR="008D5009" w:rsidRPr="00D6078B" w:rsidP="00426349">
            <w:pPr>
              <w:pStyle w:val="Text1"/>
              <w:spacing w:before="0" w:after="0"/>
              <w:ind w:left="0"/>
              <w:rPr>
                <w:b/>
                <w:sz w:val="18"/>
                <w:szCs w:val="18"/>
              </w:rPr>
            </w:pPr>
            <w:r>
              <w:rPr>
                <w:noProof/>
                <w:sz w:val="18"/>
                <w:szCs w:val="18"/>
              </w:rPr>
              <w:t>OS2.4</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Title of the specific objective</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Creșterea gradului de utilizare a Internetului</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Results that the Member States seek to achieve with Union support</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Creșterea accesului și a gradului de utilizare a sistemelor TIC integrate în educație, sănătate și cultură</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Table 3: Programme-specific result indicators, by specific objective</w:t>
      </w:r>
      <w:r>
        <w:rPr>
          <w:color w:val="000000"/>
        </w:rPr>
        <w:t xml:space="preserve"> </w:t>
      </w:r>
      <w:r>
        <w:rPr>
          <w:noProof/>
          <w:color w:val="000000"/>
        </w:rPr>
        <w:t>(for the ERDF and the Cohesion Fund)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2949"/>
        <w:gridCol w:w="1437"/>
        <w:gridCol w:w="2578"/>
        <w:gridCol w:w="1163"/>
        <w:gridCol w:w="1103"/>
        <w:gridCol w:w="1510"/>
        <w:gridCol w:w="1813"/>
        <w:gridCol w:w="175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Specific objective</w:t>
            </w:r>
          </w:p>
        </w:tc>
        <w:tc>
          <w:tcPr>
            <w:gridSpan w:val="7"/>
            <w:shd w:val="clear" w:color="auto" w:fill="auto"/>
          </w:tcPr>
          <w:p w:rsidR="008D5009" w:rsidRPr="00D6078B" w:rsidP="00426349">
            <w:pPr>
              <w:spacing w:before="0" w:after="0"/>
              <w:rPr>
                <w:b/>
                <w:sz w:val="18"/>
                <w:szCs w:val="18"/>
              </w:rPr>
            </w:pPr>
            <w:r>
              <w:rPr>
                <w:b/>
                <w:noProof/>
                <w:sz w:val="18"/>
                <w:szCs w:val="18"/>
              </w:rPr>
              <w:t xml:space="preserve">OS2.3 - </w:t>
            </w:r>
            <w:r>
              <w:rPr>
                <w:b/>
                <w:noProof/>
                <w:sz w:val="18"/>
                <w:szCs w:val="18"/>
              </w:rPr>
              <w:t>Creșterea utilizării sistemelor de e-guvernare</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w:t>
            </w:r>
          </w:p>
        </w:tc>
        <w:tc>
          <w:tcPr>
            <w:shd w:val="clear" w:color="auto" w:fill="auto"/>
          </w:tcPr>
          <w:p w:rsidR="008D5009" w:rsidRPr="00530EF1" w:rsidP="00426349">
            <w:pPr>
              <w:spacing w:before="0" w:after="0"/>
              <w:jc w:val="center"/>
              <w:rPr>
                <w:b/>
                <w:sz w:val="16"/>
                <w:szCs w:val="16"/>
              </w:rPr>
            </w:pPr>
            <w:r>
              <w:rPr>
                <w:b/>
                <w:noProof/>
                <w:color w:val="000000"/>
                <w:sz w:val="16"/>
                <w:szCs w:val="16"/>
              </w:rPr>
              <w:t>Indicator</w:t>
            </w:r>
          </w:p>
        </w:tc>
        <w:tc>
          <w:tcPr>
            <w:shd w:val="clear" w:color="auto" w:fill="auto"/>
          </w:tcPr>
          <w:p w:rsidR="008D5009" w:rsidRPr="00913A1A" w:rsidP="00426349">
            <w:pPr>
              <w:spacing w:before="0" w:after="0"/>
              <w:jc w:val="center"/>
              <w:rPr>
                <w:b/>
                <w:sz w:val="16"/>
                <w:szCs w:val="16"/>
              </w:rPr>
            </w:pPr>
            <w:r>
              <w:rPr>
                <w:b/>
                <w:noProof/>
                <w:color w:val="000000"/>
                <w:sz w:val="16"/>
                <w:szCs w:val="16"/>
              </w:rPr>
              <w:t>Measurement unit</w:t>
            </w:r>
          </w:p>
        </w:tc>
        <w:tc>
          <w:tcPr/>
          <w:p w:rsidR="008D5009" w:rsidRPr="007B722E" w:rsidP="00426349">
            <w:pPr>
              <w:spacing w:before="0" w:after="0"/>
              <w:jc w:val="center"/>
              <w:rPr>
                <w:b/>
                <w:color w:val="000000"/>
                <w:sz w:val="16"/>
                <w:szCs w:val="16"/>
              </w:rPr>
            </w:pPr>
            <w:r>
              <w:rPr>
                <w:b/>
                <w:noProof/>
                <w:color w:val="000000"/>
                <w:sz w:val="16"/>
                <w:szCs w:val="16"/>
              </w:rPr>
              <w:t>Category of region (where relevant)</w:t>
            </w:r>
          </w:p>
        </w:tc>
        <w:tc>
          <w:tcPr>
            <w:shd w:val="clear" w:color="auto" w:fill="auto"/>
          </w:tcPr>
          <w:p w:rsidR="008D5009" w:rsidRPr="007B722E" w:rsidP="00426349">
            <w:pPr>
              <w:spacing w:before="0" w:after="0"/>
              <w:jc w:val="center"/>
              <w:rPr>
                <w:b/>
                <w:sz w:val="16"/>
                <w:szCs w:val="16"/>
              </w:rPr>
            </w:pPr>
            <w:r>
              <w:rPr>
                <w:b/>
                <w:noProof/>
                <w:color w:val="000000"/>
                <w:sz w:val="16"/>
                <w:szCs w:val="16"/>
              </w:rPr>
              <w:t>Baseline value</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Baseline year</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Target value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Source of data</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Frequency of reporting</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3S13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Cetățeni care utilizează sistemele e-guvernare</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 populatie</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5.00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35.00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Digital Agenda Scoreboard</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Anual</w:t>
            </w:r>
          </w:p>
        </w:tc>
      </w:tr>
    </w:tbl>
    <w:p w:rsidR="008D5009" w:rsidP="008D5009">
      <w:pPr>
        <w:spacing w:before="0" w:after="0"/>
        <w:rPr>
          <w:b/>
          <w:lang w:val="pt-PT"/>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
        <w:gridCol w:w="2625"/>
        <w:gridCol w:w="1478"/>
        <w:gridCol w:w="2651"/>
        <w:gridCol w:w="1197"/>
        <w:gridCol w:w="1135"/>
        <w:gridCol w:w="1553"/>
        <w:gridCol w:w="1865"/>
        <w:gridCol w:w="180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Specific objective</w:t>
            </w:r>
          </w:p>
        </w:tc>
        <w:tc>
          <w:tcPr>
            <w:gridSpan w:val="7"/>
            <w:shd w:val="clear" w:color="auto" w:fill="auto"/>
          </w:tcPr>
          <w:p w:rsidR="008D5009" w:rsidRPr="00D6078B" w:rsidP="00426349">
            <w:pPr>
              <w:spacing w:before="0" w:after="0"/>
              <w:rPr>
                <w:b/>
                <w:sz w:val="18"/>
                <w:szCs w:val="18"/>
              </w:rPr>
            </w:pPr>
            <w:r>
              <w:rPr>
                <w:b/>
                <w:noProof/>
                <w:sz w:val="18"/>
                <w:szCs w:val="18"/>
              </w:rPr>
              <w:t xml:space="preserve">OS2.4 - </w:t>
            </w:r>
            <w:r>
              <w:rPr>
                <w:b/>
                <w:noProof/>
                <w:sz w:val="18"/>
                <w:szCs w:val="18"/>
              </w:rPr>
              <w:t>Creșterea gradului de utilizare a Internetului</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w:t>
            </w:r>
          </w:p>
        </w:tc>
        <w:tc>
          <w:tcPr>
            <w:shd w:val="clear" w:color="auto" w:fill="auto"/>
          </w:tcPr>
          <w:p w:rsidR="008D5009" w:rsidRPr="00530EF1" w:rsidP="00426349">
            <w:pPr>
              <w:spacing w:before="0" w:after="0"/>
              <w:jc w:val="center"/>
              <w:rPr>
                <w:b/>
                <w:sz w:val="16"/>
                <w:szCs w:val="16"/>
              </w:rPr>
            </w:pPr>
            <w:r>
              <w:rPr>
                <w:b/>
                <w:noProof/>
                <w:color w:val="000000"/>
                <w:sz w:val="16"/>
                <w:szCs w:val="16"/>
              </w:rPr>
              <w:t>Indicator</w:t>
            </w:r>
          </w:p>
        </w:tc>
        <w:tc>
          <w:tcPr>
            <w:shd w:val="clear" w:color="auto" w:fill="auto"/>
          </w:tcPr>
          <w:p w:rsidR="008D5009" w:rsidRPr="00913A1A" w:rsidP="00426349">
            <w:pPr>
              <w:spacing w:before="0" w:after="0"/>
              <w:jc w:val="center"/>
              <w:rPr>
                <w:b/>
                <w:sz w:val="16"/>
                <w:szCs w:val="16"/>
              </w:rPr>
            </w:pPr>
            <w:r>
              <w:rPr>
                <w:b/>
                <w:noProof/>
                <w:color w:val="000000"/>
                <w:sz w:val="16"/>
                <w:szCs w:val="16"/>
              </w:rPr>
              <w:t>Measurement unit</w:t>
            </w:r>
          </w:p>
        </w:tc>
        <w:tc>
          <w:tcPr/>
          <w:p w:rsidR="008D5009" w:rsidRPr="007B722E" w:rsidP="00426349">
            <w:pPr>
              <w:spacing w:before="0" w:after="0"/>
              <w:jc w:val="center"/>
              <w:rPr>
                <w:b/>
                <w:color w:val="000000"/>
                <w:sz w:val="16"/>
                <w:szCs w:val="16"/>
              </w:rPr>
            </w:pPr>
            <w:r>
              <w:rPr>
                <w:b/>
                <w:noProof/>
                <w:color w:val="000000"/>
                <w:sz w:val="16"/>
                <w:szCs w:val="16"/>
              </w:rPr>
              <w:t>Category of region (where relevant)</w:t>
            </w:r>
          </w:p>
        </w:tc>
        <w:tc>
          <w:tcPr>
            <w:shd w:val="clear" w:color="auto" w:fill="auto"/>
          </w:tcPr>
          <w:p w:rsidR="008D5009" w:rsidRPr="007B722E" w:rsidP="00426349">
            <w:pPr>
              <w:spacing w:before="0" w:after="0"/>
              <w:jc w:val="center"/>
              <w:rPr>
                <w:b/>
                <w:sz w:val="16"/>
                <w:szCs w:val="16"/>
              </w:rPr>
            </w:pPr>
            <w:r>
              <w:rPr>
                <w:b/>
                <w:noProof/>
                <w:color w:val="000000"/>
                <w:sz w:val="16"/>
                <w:szCs w:val="16"/>
              </w:rPr>
              <w:t>Baseline value</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Baseline year</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Target value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Source of data</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Frequency of reporting</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3S14</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Utilizarea cu regularitate  a internetului</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 populatie</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45.00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60.00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Digital Agenda Scoreboard</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Anual</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94" w:name="_Toc256000063"/>
      <w:r>
        <w:rPr>
          <w:noProof/>
        </w:rPr>
        <w:t>2.A.6 Action to be supported under the investment priority</w:t>
      </w:r>
      <w:r>
        <w:rPr>
          <w:b w:val="0"/>
        </w:rPr>
        <w:t xml:space="preserve"> </w:t>
      </w:r>
      <w:r>
        <w:rPr>
          <w:b w:val="0"/>
          <w:noProof/>
        </w:rPr>
        <w:t>(by investment priority)</w:t>
      </w:r>
      <w:bookmarkEnd w:id="94"/>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95" w:name="_Toc256000064"/>
      <w:r w:rsidRPr="0076169B">
        <w:rPr>
          <w:b/>
          <w:noProof/>
        </w:rPr>
        <w:t>2.A.6.1 Description of the type and examples of actions to be supported and their expected contribution to the specific objectives including, where appropriate, the identification of main target groups, specific territories targeted and types of beneficiaries</w:t>
      </w:r>
      <w:bookmarkEnd w:id="9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8"/>
        <w:gridCol w:w="1198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Investment priority</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2c - </w:t>
            </w:r>
            <w:r w:rsidRPr="0012385C">
              <w:rPr>
                <w:noProof/>
                <w:sz w:val="18"/>
                <w:szCs w:val="18"/>
              </w:rPr>
              <w:t>Strengthening ICT applications for e-government, e-learning, e-inclusion, e-culture and e-health</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b/>
                <w:bCs/>
                <w:u w:val="single"/>
              </w:rPr>
              <w:t>Acțiunea 2.3.1 Consolidarea și asigurarea interoperabilității sistemelor informatice dedicate serviciilor de e-guvernare tip 2.0 centrate pe evenimente din viața cetățenilor și întreprinderilor, dezvoltarea cloud computing guvernamental și a comunicării media sociale, a Open Data şi Big Data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se adresează obiectivului specific “ Creșterea utilizării sistemelor de e-guvernare”.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E-guvernare se implementează conform obiectivelor SCAP și în baza conceptului oferit de Agenda Digitală pentru România.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Coordonarea celor două strategii în scopul operaționalizării acestui concept este asigurată de CTE înființat prin HG nr.941/2013, cu modificările și completările ulterioare, care supraveghează implementarea SNADR dintr-o perspectivă operaţională şi tactică. Din acest comitet face parte și MDRAP, instituție responsabilă de implementarea SCAP.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Pe de altă parte, sub coordonarea Comitetului Național pentru Coordonarea Implementării și Monitorizarea SCAP (condus de MDRAP şi Cancelaria Primului Ministru) autorităţile competente vor identifica nevoile de reforme organizaţionale, procedurale şi legislative pentru fiecare minister de linie, având sprijinul MSI pentru aspectele incidente domeniului ITC.</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u w:val="single"/>
              </w:rPr>
              <w:t>E-guvernare - evenimente de viață</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Tipuri</w:t>
            </w:r>
            <w:r>
              <w:rPr>
                <w:rFonts w:ascii="Times New Roman" w:eastAsia="Times New Roman" w:hAnsi="Times New Roman" w:cs="Times New Roman"/>
                <w:b/>
                <w:bCs/>
                <w:i/>
                <w:iCs/>
              </w:rPr>
              <w:t xml:space="preserve"> de intervenţii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Implementarea principiilor e-guvernare 2.0 în România constă într-o abordare sistemică a serviciilor publice centrate pe EV și presupune instalarea platformei, publicarea de date din cadrul platformei, întreţinerea sistemului de operare, administrarea bazelor de date, asigurarea securităţii, realizarea unor copii de siguranţă externe și primirea de feedback de la utilizatori și implică servere (baza de date şi capacitate de back up), hardware la nivel central, software de bază cu licenţe, echipamente TIC la nivel central/local.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Intervențiile în cadrul POC vor viza întreg necesarul de infrastructură pentru crearea și activarea de servicii e-guvernare la nivel IV de sofisticare (36 EV predefinite, grupate după logica acțiunii de dezvoltare/implementare potrivit responsabilităților administrative existente urmărind eficiența operațională).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Implementarea serviciilor e-guvernare de tip 2.0 presupune un cumul de intervenții care includ interoperabilitate, Cloud Computing, Media Sociale, Open Data și Big Data în cadrul unor proiecte strategice integrate care au în vedere și CNI.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Autoritățile publice care oferă/coordonează servicii publice ce vizează cele 36 de evenimente de viață, predefinite prin SNADR, vor acționa în parteneriat pentru implementarea unor proiecte integrate  definite în funcție de logica responsabilităților administrative și eficiența operațională.</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Atingerea rezultatelor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Această abordare facilitează implementarea și promovarea unor servicii de tip Portal în administraţie pentru integrarea mai multor tipuri de servicii publice şi autorităţi publice responsabile într-un singur instrument (platformă şi interfaţă) structurat în jurul unor nevoi pre-stabilite ale cetăţenilor şi întreprinderilor.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Proiectul de e-guvernare va susține interoperabilitatea sistemelor informatice la nivelul administrației publice, utilizarea datelor organizaționale încrucișate și a resurselor existente.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u w:val="single"/>
              </w:rPr>
              <w:t>Cloud computing guvernamental și rețelele sociale în instituțiile publice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Tipuri de intervenţii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cadrul POC se va susține crearea și dezvoltarea unei infrastructuri IT sigure și scalabile de Cloud guvernamental, comună pentru toate organizațiile din sectorul public. Infrastructura implică, în principal, servicii de curierat digital, platformele de colaborare virtuale, conexiuni și baze de date, platforme de siguranță (la nivelul centrelor de date), servere, imobilele destinate centrelor de date ale guvernului, soluții de securizare, procese de back-up etc.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Vor fi consolidate și infrastructurile centrelor de date din instituțiile publice pentru a putea fi integrate acestui proces de reorganizare a sistemului de stocare a informațiilor la nivel guvernamental.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Se va susține dezvoltarea platformelor de interacțiune tip media sociale pentru mai buna relaționare a instituțiilor publice cu cetățenii și firmele.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Acţiunile POC vizează:</w:t>
            </w:r>
          </w:p>
          <w:p>
            <w:pPr>
              <w:numPr>
                <w:ilvl w:val="0"/>
                <w:numId w:val="11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Crearea/dezvoltarea infrastructurii IT specifice Cloud-ului, comună tuturor organizațiilor din sectorul public</w:t>
            </w:r>
          </w:p>
          <w:p>
            <w:pPr>
              <w:numPr>
                <w:ilvl w:val="0"/>
                <w:numId w:val="11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Achiziția/punerea în funcțiune a unor componente/servicii ce formează infrastructura centrală</w:t>
            </w:r>
          </w:p>
          <w:p>
            <w:pPr>
              <w:numPr>
                <w:ilvl w:val="0"/>
                <w:numId w:val="11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Consolidare/crearea platformelor de socializare online și a centrelor de date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Atingerea rezultatelor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Cloud-ul guvernamental asigură:</w:t>
            </w:r>
          </w:p>
          <w:p>
            <w:pPr>
              <w:numPr>
                <w:ilvl w:val="0"/>
                <w:numId w:val="11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furnizarea resurselor tehnologice în mediu virtual instituţiilor care nu dispun de platforme hardware şi software (primăriile localităților mici)</w:t>
            </w:r>
          </w:p>
          <w:p>
            <w:pPr>
              <w:numPr>
                <w:ilvl w:val="0"/>
                <w:numId w:val="11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consolidarea/centralizarea informaţiilor/sistemelor/datelor din diverse centre de date</w:t>
            </w:r>
          </w:p>
          <w:p>
            <w:pPr>
              <w:numPr>
                <w:ilvl w:val="0"/>
                <w:numId w:val="11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migrarea datelor către/dinspre instituțiile centrale, pentru o structură uniformă de informaţii în centrele de date insuficient/parţial conectate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Dezvoltarea platformelor de socializare la nivel național vizează:</w:t>
            </w:r>
          </w:p>
          <w:p>
            <w:pPr>
              <w:numPr>
                <w:ilvl w:val="0"/>
                <w:numId w:val="11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realizarea portalului web unic cu acces la toate serviciile publice de pe site-urile instituțiilor publice</w:t>
            </w:r>
          </w:p>
          <w:p>
            <w:pPr>
              <w:numPr>
                <w:ilvl w:val="0"/>
                <w:numId w:val="11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implementarea opțiunii de feedback în timp real pe site-urile instituțiilor publice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u w:val="single"/>
              </w:rPr>
              <w:t>Open data și Big data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Tipuri</w:t>
            </w:r>
            <w:r>
              <w:rPr>
                <w:rFonts w:ascii="Times New Roman" w:eastAsia="Times New Roman" w:hAnsi="Times New Roman" w:cs="Times New Roman"/>
                <w:b/>
                <w:bCs/>
                <w:i/>
                <w:iCs/>
              </w:rPr>
              <w:t xml:space="preserve"> de intervenţii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Prin POC va fi dezvoltată la nivel național o infrastructură/un sistem electronic de colectare/combinare/prelucrare a datelor relevante și va fi asigurată infrastructura de prelucrare/analiză a datelor astfel colectate. Infrastructura actuală, care susţine date afişate public, trebuie să fie consolidată (datele mutate într-un portal găzduit de Cloud-ul guvernamental) fiind necesară o analiză a nevoilor de infrastructură specifică open/big data, care să se suprapună peste infrastructura Cloud-ului guvernamental dezvoltat (servere, hardware, software, interfaţa cu utilizatorii, interfaţa cu administratorul, platforma de date, sisteme de operare etc.).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Acţiunile POC vizează:</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Open</w:t>
            </w:r>
            <w:r>
              <w:rPr>
                <w:rFonts w:ascii="Times New Roman" w:eastAsia="Times New Roman" w:hAnsi="Times New Roman" w:cs="Times New Roman"/>
                <w:u w:val="single"/>
              </w:rPr>
              <w:t xml:space="preserve"> data</w:t>
            </w:r>
          </w:p>
          <w:p>
            <w:pPr>
              <w:numPr>
                <w:ilvl w:val="0"/>
                <w:numId w:val="11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Concentrarea într-o singură platformă la nivel naţional a datelor deschise furnizate de instituţiile publice</w:t>
            </w:r>
          </w:p>
          <w:p>
            <w:pPr>
              <w:numPr>
                <w:ilvl w:val="0"/>
                <w:numId w:val="11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Dezvoltarea la nivel naţional a unui sistem electronic şi/sau fizic - de colectare a datelor relevante</w:t>
            </w:r>
          </w:p>
          <w:p>
            <w:pPr>
              <w:numPr>
                <w:ilvl w:val="0"/>
                <w:numId w:val="11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Asigurarea securităţii serverelor şi asigurarea unui backup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u w:val="single"/>
              </w:rPr>
              <w:t>Big</w:t>
            </w:r>
            <w:r>
              <w:rPr>
                <w:rFonts w:ascii="Times New Roman" w:eastAsia="Times New Roman" w:hAnsi="Times New Roman" w:cs="Times New Roman"/>
                <w:u w:val="single"/>
              </w:rPr>
              <w:t xml:space="preserve"> Data</w:t>
            </w:r>
          </w:p>
          <w:p>
            <w:pPr>
              <w:numPr>
                <w:ilvl w:val="0"/>
                <w:numId w:val="11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Echipamentul hardware și aplicațiile software adecvate pentru comunicaţii (preluare/stocare/analiză avansată a informaţiilor/raportare si emitere alerte/avertizări)</w:t>
            </w:r>
          </w:p>
          <w:p>
            <w:pPr>
              <w:numPr>
                <w:ilvl w:val="0"/>
                <w:numId w:val="11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Securitatea la nivelul echipamentelor hardware şi software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Atingerea rezultatelor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Scopul utilizării Open data constă în asigurarea accesului liber la informaţii, oferind în acelaşi timp posibilitatea de prelucrare a datelor și prezentarea de informații structurate, în vederea sprijinirii atât administraţiei, cât și a societăţii civile în luarea deciziilor/formularea politicilor publice, contribuind la rezultatele implementării e-guvernare.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Beneficiile conceptului de Big data includ: reducerea redundanței plăților în zona publică, prevenirea fraudei şi abuzurilor, creşterea eficienţei. Exemple de domenii în care proiectul Big Data este realizabil pot fi: sănătate (analiza statistică a cazurilor, telemedicină etc.), cultură, e-comerț, securitate.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Beneficiari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Autorități ale administrației publice centrale care gestionează/coordonează servicii publice ce vizează cele 36 de evenimente de viață predefinite, inclusiv parteneriate intre aceste institutii publice </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Teritoriul acoperit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Acțiunile acoperă întreg teritoriul național.</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u w:val="single"/>
              </w:rPr>
              <w:t>Acțiune 2.3.2 Asigurarea securității cibernetice a sistemelor TIC și a rețelelor informatice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se adresează obiectivului specific “ Creșterea gradului de utilizare a Internetului”.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Tipuri de intervenţii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POC va asigura dezvoltarea infrastructurii și a capacității de gestionare a riscurilor în domeniul securității cibernetice și de reacție la incidente cibernetice prin:</w:t>
            </w:r>
          </w:p>
          <w:p>
            <w:pPr>
              <w:numPr>
                <w:ilvl w:val="0"/>
                <w:numId w:val="11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Constituirea şi operaționalizarea sistemului de securitate cibernetică națională</w:t>
            </w:r>
          </w:p>
          <w:p>
            <w:pPr>
              <w:numPr>
                <w:ilvl w:val="0"/>
                <w:numId w:val="11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Dezvoltarea infrastructurii cibernetice existente</w:t>
            </w:r>
          </w:p>
          <w:p>
            <w:pPr>
              <w:numPr>
                <w:ilvl w:val="0"/>
                <w:numId w:val="11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Dezvoltarea de aplicaţii destinate asigurării securităţii cibernetice a infrastructurilor cibernetice de interes national</w:t>
            </w:r>
          </w:p>
          <w:p>
            <w:pPr>
              <w:numPr>
                <w:ilvl w:val="0"/>
                <w:numId w:val="11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Dezvoltarea de instrumente software destinate identificării vulnerabilităților la nivel de software și firmware</w:t>
            </w:r>
          </w:p>
          <w:p>
            <w:pPr>
              <w:numPr>
                <w:ilvl w:val="0"/>
                <w:numId w:val="11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Dezvoltarea entităților CERT în sectorul public și privat</w:t>
            </w:r>
          </w:p>
          <w:p>
            <w:pPr>
              <w:numPr>
                <w:ilvl w:val="0"/>
                <w:numId w:val="11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Crearea cadrului necesar realizării de audit-uri de securitate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Acest lucru presupune sporirea rezistenței infrastructurii cibernetice, constând în sisteme informatice, aplicaţii aferente, reţele şi servicii de comunicaţii electronice, prin implementarea de soluţii tehnice de protejare acestora şi constituirea şi operaționalizarea sistemului de securitate cibernetică națională.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mod complementar, dezvoltarea capacităţii de management al riscului în privinţa securităţii cibernetice şi de reacţie la incidente cibernetice implică consolidarea la nivelul autorităților competente, a potențialului pentru cunoaştere, prevenirea şi contracararea amenințărilor şi minimizarea riscurilor legate de utilizarea spațiului cibernetic, asigurarea cooperării dintre sectorul public şi cel privat, inclusiv prin încurajarea schimbului de informații privind amenințările, vulnerabilitățile, riscurile şi cele referitoare la incidentele şi atacurile cibernetice, dezvoltarea entităților CERT.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Atingerea rezultatelor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prezent, se află în derulare proiectul „</w:t>
            </w:r>
            <w:r>
              <w:rPr>
                <w:rFonts w:ascii="Times New Roman" w:eastAsia="Times New Roman" w:hAnsi="Times New Roman" w:cs="Times New Roman"/>
                <w:i/>
                <w:iCs/>
              </w:rPr>
              <w:t>Sistem național de protecție a infrastructurilor IT&amp;C de interes național împotriva amenințărilor provenite din spațiul cibernetic</w:t>
            </w:r>
            <w:r>
              <w:rPr>
                <w:rFonts w:ascii="Times New Roman" w:eastAsia="Times New Roman" w:hAnsi="Times New Roman" w:cs="Times New Roman"/>
              </w:rPr>
              <w:t>” care oferă suportul informaţional/analitic/decizional necesar funcţionării SNSC. Având în vedere că acesta acoperă doar o parte din ICIN-uri, este necesară continuarea investițiilor pentru a acoperi și acele infrastructuri rămase desecurizate.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ceea ce priveşte mediul privat, această acţiune va contribui la consolidarea securității cibernetice, prin stabilirea unor obligații ce revin persoanelor de drept privat care dețin ICIN. Astfel, creșterea nivelului de securitate cibernetică va duce la dezvoltarea comerțului electronic și, în general, la utilizarea Internetului în derularea afacerilor.</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Beneficiari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Entități CERT, autorități publice centrale cu responsabilități în domeniul securității cibernetice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Teritoriul acoperit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Acțiunile acoperă întreg teritoriul național.</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u w:val="single"/>
              </w:rPr>
              <w:t>Acțiunea 2.3.3. Îmbunătățirea conținutului digital și a infrastructurii TIC sistemice în domeniul e-educație, e-sănătate și e-cultură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se adresează obiectivului specific “ Creșterea gradului de utilizare a Internetului”.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u w:val="single"/>
              </w:rPr>
              <w:t>E-educație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Tipuri de intervenţii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cadrul POC se va susține asigurarea infrastructurii TIC în școli prin:</w:t>
            </w:r>
          </w:p>
          <w:p>
            <w:pPr>
              <w:numPr>
                <w:ilvl w:val="0"/>
                <w:numId w:val="11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Realizarea Platformei școlare de e-learning/de învățare, inclusiv a Bibliotecii școlare virtuale, realizarea/utilizarea la nivel național a catalogului electronic, precum și a altor programe naționale (rețele colaborative/platforme, tehnologii/instrumente digitale educaționale integrate care să permită managementul inovativ, atât la nivelul procesului de predare - învățare – evaluare, cât și la nivel instituțional și al leadership-ului)</w:t>
            </w:r>
          </w:p>
          <w:p>
            <w:pPr>
              <w:numPr>
                <w:ilvl w:val="0"/>
                <w:numId w:val="11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Achiziţionarea de echipamente TIC pentru şcolile gimnaziale </w:t>
            </w:r>
          </w:p>
          <w:p>
            <w:pPr>
              <w:numPr>
                <w:ilvl w:val="0"/>
                <w:numId w:val="11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Îmbunătățirea accesului la internet prin implementarea de wirelesscampus, cu prioritate în  școlile gimnaziale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Atingerea rezultatelor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Intervenţiile legate de TIC în educație vor viza activitatea curriculară din mediul preuniversitar. Acest tip de educație se bazează în principal pe resurse OER și Web 2.0 pentru activitatea de învățare/evaluare pe bază de proiecte și de e-portofoliu de rezultate al elevului, pe crearea de conținut digital original și interacțiune.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Beneficiari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Autoritățile administrației publice cu responsabilităţi în domeniile educație și TIC(inclusiv a.p.l.) si u.i preuniversitar de stat.</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E-sănătate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Tipuri de intervenţii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Intervențiile în cadrul POC vor viza asigurarea infrastructurii necesare pentru implementarea sistemului informatic al sănătăţii şi telemedicinei.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Dezvoltarea unui sistem informatic integrat de e-sănătate urmărește acțiuni de dezvoltare/consolidare a sistemelor informaționale existente și de creștere a gradului de interoperabilitate a acestora. Principalele componente ale sistemului informatic al sănătăţii ca suport pentru procesul de luare a deciziilor include: depozitul de date, instrumente analitice şi de raportare, sistem de prezentare, sistem administrativ de suport operare.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Ministerul Sănătății își propune acțiuni cu scopul de a consolida sistemul informatic și informațional în domeniul sănătății, precum și guvernanța e-sănătate.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Experiența ultimilor ani a relevat necesitatea de a investi mai mult în domeniul e-health, însă este necesar ca aceste investiții să fie coordonate eficient la nivelul Ministerului Sănătății.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La nivelul Ministerului Sănătății şi al CNAS există mai multe propuneri de proiecte care sunt în concordanță cu obiectivele POC între care platforma informatică pentru registrele de sănătate şi platforma informatică pentru evidența clinică a secțiilor A.T.I.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Telemedicina asigură transferul electronic al datelor medicale prin sisteme de telecomunicații asigurându-se:</w:t>
            </w:r>
          </w:p>
          <w:p>
            <w:pPr>
              <w:numPr>
                <w:ilvl w:val="0"/>
                <w:numId w:val="11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Furnizarea de servicii medicale de specialitate ambulatorii post spitalizare pacienților externați din spitale</w:t>
            </w:r>
          </w:p>
          <w:p>
            <w:pPr>
              <w:numPr>
                <w:ilvl w:val="0"/>
                <w:numId w:val="11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Facilitarea accesului populației din zona rurală la servicii ambulatorii de specialitate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acord cu obiectivele SNS 2014-2020 de inversare a piramidei serviciilor de sănătate, asigurând complementaritatea acestei intervenții cu cele din POR și POCU, viziunea Ministerului Sănătății este de a implementa acest tip de servicii extrem de importante în centrele comunitare integrate (CCI). MS a comunicat către MFE, (adresa 1057/23.05.2018), propunerea de modificare a indicatorului de realizare POC. Scopul reducerii țintei indicatorului pentru domeniul telemedicinei este reprezentat de necesitatea de a utiliza fondurile disponibile prin îndeplinirea mai multor tipuri de măsuri interdependente care să consolideze guvernanța e-health și care să contribuie la obiectivele prevăzute în SNS 2014-2020.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Astfel, prin această diminuare a țintei indicatorului, MS urmărește extinderea numărului de proiecte finanțabile conform POC, care vor conduce la o capacitate crescută şi o disponibilitate mai bună de utilizare a instrumentelor tehnologice în cadrul e-sănătate.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MS și MApN vor fi responsabili pentru dezvoltarea serviciilor de telemedicină la nivel național și vor asigura selectarea comunităților, infrastructura fizică și pregătirea resurselor umane în concordanță cu strategia și cu prevederile legale naționale în domeniu.</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Atingerea rezultatelor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Utilizarea instrumentelor TIC în domeniul sănătății asigură creșterea calității și siguranței procesului de îngrijire a pacientului.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Serviciile de telemedicină, îmbunătăţirea disponibilităţii echipamentului aferent va facilita accesul la medicina de calitate în rândul persoanelor în vârstă şi al populaţiei, în special în cazul în care distanţa reprezintă un factor critic. Medicina asistată prin TIC va îmbunătăţi calitatea vieţii persoanelor în vârstă, furnizând asistenţă permanentă, ajutându-i să dobândească o anumită independenţă şi asigurând incluziunea socială a celor aflaţi în zone izolate.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Beneficiari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Autoritățile administrației publice centrale cu responsabilităţi în domeniile sănătate și TIC</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u w:val="single"/>
              </w:rPr>
              <w:t>E-cultură</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Tipuri de intervenţii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Intervențiile POC includ asigurarea infrastructurii necesare pentru:</w:t>
            </w:r>
          </w:p>
          <w:p>
            <w:pPr>
              <w:numPr>
                <w:ilvl w:val="0"/>
                <w:numId w:val="12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implementarea de instrumente de digitizare avansate și ușor utilizabile (platforma ”culturalia.ro”, vocabulare controlate, aplicații specifice de expunere pe dispozitive mobile)</w:t>
            </w:r>
          </w:p>
          <w:p>
            <w:pPr>
              <w:numPr>
                <w:ilvl w:val="0"/>
                <w:numId w:val="12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digitizarea și expunerea on-line de produse culturale analogice</w:t>
            </w:r>
          </w:p>
          <w:p>
            <w:pPr>
              <w:numPr>
                <w:ilvl w:val="0"/>
                <w:numId w:val="12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maximizarea volumului materialului cultural digitizat pentru contribuția la Europeana.</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Atingerea rezultatelor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Dincolo de contribuția semnificativă la PIB, sectoarele culturale și creative reprezintă un stimulent pentru schimbări semnificative în stilul de viață și de progres (dezvoltarea de competențe moderne, adaptarea predării și învățării și a dialogului între generații și intercultural).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Unul din principalele avantaje ale digitalizării patrimoniului cultural al României este conservarea operelor culturale naţionale, asigurând accesul la registrele digitale cu elemente de patrimoniu contribuind la sporirea gradului de informare al cetăţenilor cu privire la moştenirea culturală românească și, sprijinind valorificarea comercială a acestui patrimoniu.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Portofoliul digital al elementelor culturale naţionale va fi inclus în Biblioteca Digitală Europeana, ceea ce va contribui la creșterea vizibilității ţării. Aceasta reprezintă un suport pentru promovarea moştenirii culturale, prin transfer de cunoaştere, inovaţie şi tehnologie, dar şi o cale de a stimula competitivitatea economiei creative şi de a promova turismul cultural.</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Beneficiari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Autoritățile administrației publice centrale cu responsabilităţi în domeniile cultură și TIC</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Atingerea rezultatelor pe cele 3 domenii educație, sănătate și cultură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Deși sunt vizate domenii diferite, acțiunile propuse pleacă de la un numitor comun, și anume importanța consolidării competențelor digitale pentru persoanele de orice vârstă. Abordarea transversală este mai eficientă decât cea sectorială, având în vedere faptul că prin implementarea integrată pe diferite paliere a măsurilor (educaţie, cultură) se urmăreşte maximizarea efectelor utilizării FESI la nivelul întregii societăţi. Coordonarea integrată a dezvoltării infrastructurii TIC în aceste domenii va crea condițiile unei implementări mai rapide și eficace a măsurilor avute în vedere.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vederea asigurării complementarității cu alte intervenții în cadrul altor programe operaționale (POCU și POCA) MSI va asigura colaborarea cu toate celelalte instituții relevante implicate în implementarea proiectelor integrate pe diferite domenii.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i/>
                <w:iCs/>
              </w:rPr>
              <w:t>Teritoriul acoperit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Acțiunile acoperă întreg teritoriul național.</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96" w:name="_Toc256000065"/>
      <w:r>
        <w:rPr>
          <w:b/>
          <w:noProof/>
          <w:color w:val="000000"/>
        </w:rPr>
        <w:t>2.A.6.2 Guiding principles for selection of operations</w:t>
      </w:r>
      <w:bookmarkEnd w:id="9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8"/>
        <w:gridCol w:w="1198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Investment priority</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2c - </w:t>
            </w:r>
            <w:r w:rsidRPr="00C23AD8">
              <w:rPr>
                <w:noProof/>
                <w:color w:val="000000"/>
                <w:sz w:val="18"/>
                <w:szCs w:val="18"/>
              </w:rPr>
              <w:t>Strengthening ICT applications for e-government, e-learning, e-inclusion, e-culture and e-health</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Vor fi alese operaţiuni cu activităţi integrate, cu impact strategic national, care vizează un grup-ţintă cât mai numeros şi propun soluţii care sunt mai eficient să fie aplicate la nivel sistemic, orizontal, la nivel național. Vor fi selectate cu precădere măsuri la nivel național care să aibă un impact cât mai mare asupra populaţiei şi întreprinderilor.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Având în vedere faptul că durata medie de implementare a proiectelor din cadrul acțiuni 2.3.1 este mai mare de 3 ani şi este necesară pregătirea instituțională și strategică a acestora (sprijin POCA) au fost stabilite urmatoarele etape indicative de implementare pentru </w:t>
            </w:r>
            <w:r>
              <w:rPr>
                <w:rFonts w:ascii="Times New Roman" w:eastAsia="Times New Roman" w:hAnsi="Times New Roman" w:cs="Times New Roman"/>
                <w:b/>
                <w:bCs/>
              </w:rPr>
              <w:t>Evenimentele de Viață (nivel de sofisticare IV)</w:t>
            </w:r>
          </w:p>
          <w:p>
            <w:pPr>
              <w:numPr>
                <w:ilvl w:val="0"/>
                <w:numId w:val="12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Etapa 1: Analiza serviciilor publice şi evidențierea stadiului actual de operaționalizare conform conceptului Eveniment de Viaţă (proiect POCA)</w:t>
            </w:r>
          </w:p>
          <w:p>
            <w:pPr>
              <w:numPr>
                <w:ilvl w:val="0"/>
                <w:numId w:val="12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Etapa 2: Dezvoltarea unui cadru metodologic de abordarea a transformării sau actualizării instrumentelor utilizate la nivelul autorităţilor publice pentru implementarea abordării Evenimentelor de Viaţă (proiect POCA).</w:t>
            </w:r>
          </w:p>
          <w:p>
            <w:pPr>
              <w:numPr>
                <w:ilvl w:val="0"/>
                <w:numId w:val="12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Etapa 3: Stabilirea necesarului de investiții și elaborarea caietelor de sarcini (proiect POCA).</w:t>
            </w:r>
          </w:p>
          <w:p>
            <w:pPr>
              <w:numPr>
                <w:ilvl w:val="0"/>
                <w:numId w:val="12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Etapa 3: Derularea licitațiilor de achiziție publică pentru achiziționarea echipamentelor și implementarea Evenimentelor de Viaţă (POC)</w:t>
            </w:r>
          </w:p>
          <w:p>
            <w:pPr>
              <w:numPr>
                <w:ilvl w:val="0"/>
                <w:numId w:val="12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Etapa 4: Implementarea abordării corespunzătoare Evenimentelor de Viaţă de către contractorul/contractorii selectați prin procedura de achiziții (POC)</w:t>
            </w:r>
          </w:p>
          <w:p>
            <w:pPr>
              <w:numPr>
                <w:ilvl w:val="0"/>
                <w:numId w:val="12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Etapa 3: Derularea unor sesiuni de instruire pentru personalul implicat în gestiunea serviciilor şi sistemelor de e-guvernare dezvoltate (proiect POCA)</w:t>
            </w:r>
          </w:p>
          <w:p>
            <w:pPr>
              <w:numPr>
                <w:ilvl w:val="0"/>
                <w:numId w:val="12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Etapa 4: Monitorizarea serviciilor selectate sub forma Evenimentelor de Viaţă (proiect POCA)</w:t>
            </w:r>
          </w:p>
          <w:p>
            <w:pPr>
              <w:numPr>
                <w:ilvl w:val="0"/>
                <w:numId w:val="12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Etapa 5: Organizarea şi desfășurarea unor campanii de promovare a serviciilor şi a sistemelor dezvoltate pentru întreprinderi şi cetăţeni (proiect POCA)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Primele 3 etape necesare pregătirii implementării în condiţii optime a proiectelor care vizează Evenimentele de Viaţă (proiecte POCA) se estimează că vor dura până la sfîrşitul anului 2016, iar derularea licitațiilor de achiziție publică şi contractările aferente vor fi realizate până în 2018.</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97" w:name="_Toc256000066"/>
      <w:r>
        <w:rPr>
          <w:b/>
          <w:noProof/>
        </w:rPr>
        <w:t>2.A.6.3 Planned use of financial instruments</w:t>
      </w:r>
      <w:r>
        <w:rPr>
          <w:b/>
        </w:rPr>
        <w:t xml:space="preserve"> </w:t>
      </w:r>
      <w:r>
        <w:rPr>
          <w:i w:val="0"/>
          <w:noProof/>
        </w:rPr>
        <w:t>(where appropriate)</w:t>
      </w:r>
      <w:bookmarkEnd w:id="9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8"/>
        <w:gridCol w:w="1198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Investment priority</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2c - </w:t>
            </w:r>
            <w:r w:rsidRPr="00420C06">
              <w:rPr>
                <w:noProof/>
                <w:sz w:val="18"/>
                <w:szCs w:val="18"/>
              </w:rPr>
              <w:t>Strengthening ICT applications for e-government, e-learning, e-inclusion, e-culture and e-health</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98" w:name="_Toc256000067"/>
      <w:r w:rsidRPr="00164AE6">
        <w:rPr>
          <w:b/>
          <w:noProof/>
          <w:lang w:val="fr-BE"/>
        </w:rPr>
        <w:t>2.A.6.4 Planned use of major projects</w:t>
      </w:r>
      <w:r w:rsidRPr="00164AE6">
        <w:rPr>
          <w:i w:val="0"/>
          <w:lang w:val="fr-BE"/>
        </w:rPr>
        <w:t xml:space="preserve"> </w:t>
      </w:r>
      <w:r w:rsidRPr="00164AE6">
        <w:rPr>
          <w:i w:val="0"/>
          <w:noProof/>
          <w:lang w:val="fr-BE"/>
        </w:rPr>
        <w:t>(where appropriate)</w:t>
      </w:r>
      <w:bookmarkEnd w:id="9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8"/>
        <w:gridCol w:w="1198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Investment priority</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2c - </w:t>
            </w:r>
            <w:r w:rsidRPr="00420C06">
              <w:rPr>
                <w:noProof/>
                <w:sz w:val="18"/>
                <w:szCs w:val="18"/>
              </w:rPr>
              <w:t>Strengthening ICT applications for e-government, e-learning, e-inclusion, e-culture and e-health</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99" w:name="_Toc256000068"/>
      <w:r>
        <w:rPr>
          <w:b/>
          <w:noProof/>
          <w:color w:val="000000"/>
        </w:rPr>
        <w:t>2.A.6.5 Output indicators by investment priority and, where appropriate by category of region</w:t>
      </w:r>
      <w:bookmarkEnd w:id="99"/>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Table 5: Common and programme-specific output indicators</w:t>
      </w:r>
      <w:r>
        <w:rPr>
          <w:color w:val="000000"/>
        </w:rPr>
        <w:t xml:space="preserve"> </w:t>
      </w:r>
      <w:r>
        <w:rPr>
          <w:noProof/>
          <w:color w:val="000000"/>
        </w:rPr>
        <w:t>(by investment priority, broken down by category of region for the ESF, and where relevant, for the ERDF)</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9"/>
        <w:gridCol w:w="5265"/>
        <w:gridCol w:w="1453"/>
        <w:gridCol w:w="645"/>
        <w:gridCol w:w="2377"/>
        <w:gridCol w:w="387"/>
        <w:gridCol w:w="396"/>
        <w:gridCol w:w="1156"/>
        <w:gridCol w:w="997"/>
        <w:gridCol w:w="14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00" w:name="_Toc256000069"/>
            <w:r>
              <w:rPr>
                <w:b/>
                <w:i w:val="0"/>
                <w:noProof/>
                <w:color w:val="000000"/>
                <w:sz w:val="16"/>
                <w:szCs w:val="16"/>
              </w:rPr>
              <w:t>Investment priority</w:t>
            </w:r>
            <w:bookmarkEnd w:id="100"/>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01" w:name="_Toc256000070"/>
            <w:r w:rsidRPr="005D6B15">
              <w:rPr>
                <w:b/>
                <w:i w:val="0"/>
                <w:noProof/>
                <w:color w:val="000000"/>
                <w:sz w:val="16"/>
                <w:szCs w:val="16"/>
              </w:rPr>
              <w:t xml:space="preserve">2c - </w:t>
            </w:r>
            <w:r w:rsidRPr="005D6B15">
              <w:rPr>
                <w:b/>
                <w:i w:val="0"/>
                <w:noProof/>
                <w:color w:val="000000"/>
                <w:sz w:val="16"/>
                <w:szCs w:val="16"/>
              </w:rPr>
              <w:t>Strengthening ICT applications for e-government, e-learning, e-inclusion, e-culture and e-health</w:t>
            </w:r>
            <w:bookmarkEnd w:id="101"/>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Indicator</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Measurement unit</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Fund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Category of region (where relevant)</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Target value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Source of data</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Frequency of reporting</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W</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T</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CV4c</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Value of COVID-19 related IT for education</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EUR</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20,000,000.00</w:t>
            </w:r>
          </w:p>
        </w:tc>
        <w:tc>
          <w:tcPr>
            <w:shd w:val="clear" w:color="auto" w:fill="auto"/>
          </w:tcPr>
          <w:p w:rsidR="008D5009" w:rsidRPr="00870D13" w:rsidP="00426349">
            <w:pPr>
              <w:spacing w:before="0" w:after="0"/>
              <w:rPr>
                <w:color w:val="000000"/>
                <w:sz w:val="16"/>
                <w:szCs w:val="16"/>
              </w:rPr>
            </w:pPr>
            <w:r w:rsidRPr="00870D13">
              <w:rPr>
                <w:noProof/>
                <w:sz w:val="16"/>
                <w:szCs w:val="16"/>
              </w:rPr>
              <w:t>MEC</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3S43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Sisteme informatice dezvoltate/actualizate/extinse în domeniul e-sănătate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Sisteme informatice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1.50</w:t>
            </w:r>
          </w:p>
        </w:tc>
        <w:tc>
          <w:tcPr>
            <w:shd w:val="clear" w:color="auto" w:fill="auto"/>
          </w:tcPr>
          <w:p w:rsidR="008D5009" w:rsidRPr="00870D13" w:rsidP="00426349">
            <w:pPr>
              <w:spacing w:before="0" w:after="0"/>
              <w:rPr>
                <w:color w:val="000000"/>
                <w:sz w:val="16"/>
                <w:szCs w:val="16"/>
              </w:rPr>
            </w:pPr>
            <w:r w:rsidRPr="00870D13">
              <w:rPr>
                <w:noProof/>
                <w:sz w:val="16"/>
                <w:szCs w:val="16"/>
              </w:rPr>
              <w:t>MCSI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3S53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Capacitatea sistemului de telemedicină al apărării sprijinit prin proiect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Pacienți/zi</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87.00</w:t>
            </w:r>
          </w:p>
        </w:tc>
        <w:tc>
          <w:tcPr>
            <w:shd w:val="clear" w:color="auto" w:fill="auto"/>
          </w:tcPr>
          <w:p w:rsidR="008D5009" w:rsidRPr="00870D13" w:rsidP="00426349">
            <w:pPr>
              <w:spacing w:before="0" w:after="0"/>
              <w:rPr>
                <w:color w:val="000000"/>
                <w:sz w:val="16"/>
                <w:szCs w:val="16"/>
              </w:rPr>
            </w:pPr>
            <w:r w:rsidRPr="00870D13">
              <w:rPr>
                <w:noProof/>
                <w:sz w:val="16"/>
                <w:szCs w:val="16"/>
              </w:rPr>
              <w:t>MCSI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3S15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Servicii publice aferente evenimentelor de viață aduse la nivelul IV de sofisticare online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Servicii publice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28.00</w:t>
            </w:r>
          </w:p>
        </w:tc>
        <w:tc>
          <w:tcPr>
            <w:shd w:val="clear" w:color="auto" w:fill="auto"/>
          </w:tcPr>
          <w:p w:rsidR="008D5009" w:rsidRPr="00870D13" w:rsidP="00426349">
            <w:pPr>
              <w:spacing w:before="0" w:after="0"/>
              <w:rPr>
                <w:color w:val="000000"/>
                <w:sz w:val="16"/>
                <w:szCs w:val="16"/>
              </w:rPr>
            </w:pPr>
            <w:r w:rsidRPr="00870D13">
              <w:rPr>
                <w:noProof/>
                <w:sz w:val="16"/>
                <w:szCs w:val="16"/>
              </w:rPr>
              <w:t>MSI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Audituri de securitate susținute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Audituri de securitate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260.00</w:t>
            </w:r>
          </w:p>
        </w:tc>
        <w:tc>
          <w:tcPr>
            <w:shd w:val="clear" w:color="auto" w:fill="auto"/>
          </w:tcPr>
          <w:p w:rsidR="008D5009" w:rsidRPr="00870D13" w:rsidP="00426349">
            <w:pPr>
              <w:spacing w:before="0" w:after="0"/>
              <w:rPr>
                <w:color w:val="000000"/>
                <w:sz w:val="16"/>
                <w:szCs w:val="16"/>
              </w:rPr>
            </w:pPr>
            <w:r w:rsidRPr="00870D13">
              <w:rPr>
                <w:noProof/>
                <w:sz w:val="16"/>
                <w:szCs w:val="16"/>
              </w:rPr>
              <w:t>MSI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Școli care utilizează OER, WEB 2.0 în educație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Scoli</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1,617.00</w:t>
            </w:r>
          </w:p>
        </w:tc>
        <w:tc>
          <w:tcPr>
            <w:shd w:val="clear" w:color="auto" w:fill="auto"/>
          </w:tcPr>
          <w:p w:rsidR="008D5009" w:rsidRPr="00870D13" w:rsidP="00426349">
            <w:pPr>
              <w:spacing w:before="0" w:after="0"/>
              <w:rPr>
                <w:color w:val="000000"/>
                <w:sz w:val="16"/>
                <w:szCs w:val="16"/>
              </w:rPr>
            </w:pPr>
            <w:r w:rsidRPr="00870D13">
              <w:rPr>
                <w:noProof/>
                <w:sz w:val="16"/>
                <w:szCs w:val="16"/>
              </w:rPr>
              <w:t>MSI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Unități prespitalicești și spitalicești care utilizează sisteme de telemedicine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Unitati sanitare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121.00</w:t>
            </w:r>
          </w:p>
        </w:tc>
        <w:tc>
          <w:tcPr>
            <w:shd w:val="clear" w:color="auto" w:fill="auto"/>
          </w:tcPr>
          <w:p w:rsidR="008D5009" w:rsidRPr="00870D13" w:rsidP="00426349">
            <w:pPr>
              <w:spacing w:before="0" w:after="0"/>
              <w:rPr>
                <w:color w:val="000000"/>
                <w:sz w:val="16"/>
                <w:szCs w:val="16"/>
              </w:rPr>
            </w:pPr>
            <w:r w:rsidRPr="00870D13">
              <w:rPr>
                <w:noProof/>
                <w:sz w:val="16"/>
                <w:szCs w:val="16"/>
              </w:rPr>
              <w:t>MSI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3S19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Elemente de patrimoniu cultural digitizate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Produse culturale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160,496.00</w:t>
            </w:r>
          </w:p>
        </w:tc>
        <w:tc>
          <w:tcPr>
            <w:shd w:val="clear" w:color="auto" w:fill="auto"/>
          </w:tcPr>
          <w:p w:rsidR="008D5009" w:rsidRPr="00870D13" w:rsidP="00426349">
            <w:pPr>
              <w:spacing w:before="0" w:after="0"/>
              <w:rPr>
                <w:color w:val="000000"/>
                <w:sz w:val="16"/>
                <w:szCs w:val="16"/>
              </w:rPr>
            </w:pPr>
            <w:r w:rsidRPr="00870D13">
              <w:rPr>
                <w:noProof/>
                <w:sz w:val="16"/>
                <w:szCs w:val="16"/>
              </w:rPr>
              <w:t>MSI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3S43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Sisteme informatice dezvoltate/actualizate/extinse în domeniul e-sănătate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Sisteme informatice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0.50</w:t>
            </w:r>
          </w:p>
        </w:tc>
        <w:tc>
          <w:tcPr>
            <w:shd w:val="clear" w:color="auto" w:fill="auto"/>
          </w:tcPr>
          <w:p w:rsidR="008D5009" w:rsidRPr="00870D13" w:rsidP="00426349">
            <w:pPr>
              <w:spacing w:before="0" w:after="0"/>
              <w:rPr>
                <w:color w:val="000000"/>
                <w:sz w:val="16"/>
                <w:szCs w:val="16"/>
              </w:rPr>
            </w:pPr>
            <w:r w:rsidRPr="00870D13">
              <w:rPr>
                <w:noProof/>
                <w:sz w:val="16"/>
                <w:szCs w:val="16"/>
              </w:rPr>
              <w:t>MCSI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3S53</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Capacitatea sistemului de telemedicină al apărării sprijinit prin proiect</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Pacienți/zi</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13.00</w:t>
            </w:r>
          </w:p>
        </w:tc>
        <w:tc>
          <w:tcPr>
            <w:shd w:val="clear" w:color="auto" w:fill="auto"/>
          </w:tcPr>
          <w:p w:rsidR="008D5009" w:rsidRPr="00870D13" w:rsidP="00426349">
            <w:pPr>
              <w:spacing w:before="0" w:after="0"/>
              <w:rPr>
                <w:color w:val="000000"/>
                <w:sz w:val="16"/>
                <w:szCs w:val="16"/>
              </w:rPr>
            </w:pPr>
            <w:r w:rsidRPr="00870D13">
              <w:rPr>
                <w:noProof/>
                <w:sz w:val="16"/>
                <w:szCs w:val="16"/>
              </w:rPr>
              <w:t>MCSI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3S15</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Servicii publice aferente evenimentelor de viață aduse la nivelul IV de sofisticare online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Servicii publice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w:t>
            </w:r>
          </w:p>
        </w:tc>
        <w:tc>
          <w:tcPr>
            <w:shd w:val="clear" w:color="auto" w:fill="auto"/>
          </w:tcPr>
          <w:p w:rsidR="008D5009" w:rsidRPr="00870D13" w:rsidP="00426349">
            <w:pPr>
              <w:spacing w:before="0" w:after="0"/>
              <w:rPr>
                <w:color w:val="000000"/>
                <w:sz w:val="16"/>
                <w:szCs w:val="16"/>
              </w:rPr>
            </w:pPr>
            <w:r w:rsidRPr="00870D13">
              <w:rPr>
                <w:noProof/>
                <w:sz w:val="16"/>
                <w:szCs w:val="16"/>
              </w:rPr>
              <w:t>MSI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3S16</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Audituri de securitate susținute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Audituri de securitate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40.00</w:t>
            </w:r>
          </w:p>
        </w:tc>
        <w:tc>
          <w:tcPr>
            <w:shd w:val="clear" w:color="auto" w:fill="auto"/>
          </w:tcPr>
          <w:p w:rsidR="008D5009" w:rsidRPr="00870D13" w:rsidP="00426349">
            <w:pPr>
              <w:spacing w:before="0" w:after="0"/>
              <w:rPr>
                <w:color w:val="000000"/>
                <w:sz w:val="16"/>
                <w:szCs w:val="16"/>
              </w:rPr>
            </w:pPr>
            <w:r w:rsidRPr="00870D13">
              <w:rPr>
                <w:noProof/>
                <w:sz w:val="16"/>
                <w:szCs w:val="16"/>
              </w:rPr>
              <w:t>MSI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3S17</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Școli care utilizează OER, WEB 2.0 în educație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Scoli</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242.00</w:t>
            </w:r>
          </w:p>
        </w:tc>
        <w:tc>
          <w:tcPr>
            <w:shd w:val="clear" w:color="auto" w:fill="auto"/>
          </w:tcPr>
          <w:p w:rsidR="008D5009" w:rsidRPr="00870D13" w:rsidP="00426349">
            <w:pPr>
              <w:spacing w:before="0" w:after="0"/>
              <w:rPr>
                <w:color w:val="000000"/>
                <w:sz w:val="16"/>
                <w:szCs w:val="16"/>
              </w:rPr>
            </w:pPr>
            <w:r w:rsidRPr="00870D13">
              <w:rPr>
                <w:noProof/>
                <w:sz w:val="16"/>
                <w:szCs w:val="16"/>
              </w:rPr>
              <w:t>MSI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3S18</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Unități prespitalicești și spitalicești care utilizează sisteme de telemedicine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Unitati sanitare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18.00</w:t>
            </w:r>
          </w:p>
        </w:tc>
        <w:tc>
          <w:tcPr>
            <w:shd w:val="clear" w:color="auto" w:fill="auto"/>
          </w:tcPr>
          <w:p w:rsidR="008D5009" w:rsidRPr="00870D13" w:rsidP="00426349">
            <w:pPr>
              <w:spacing w:before="0" w:after="0"/>
              <w:rPr>
                <w:color w:val="000000"/>
                <w:sz w:val="16"/>
                <w:szCs w:val="16"/>
              </w:rPr>
            </w:pPr>
            <w:r w:rsidRPr="00870D13">
              <w:rPr>
                <w:noProof/>
                <w:sz w:val="16"/>
                <w:szCs w:val="16"/>
              </w:rPr>
              <w:t>MSI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3S19</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Elemente de patrimoniu cultural digitizate</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Produse culturale</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23,982.00</w:t>
            </w:r>
          </w:p>
        </w:tc>
        <w:tc>
          <w:tcPr>
            <w:shd w:val="clear" w:color="auto" w:fill="auto"/>
          </w:tcPr>
          <w:p w:rsidR="008D5009" w:rsidRPr="00870D13" w:rsidP="00426349">
            <w:pPr>
              <w:spacing w:before="0" w:after="0"/>
              <w:rPr>
                <w:color w:val="000000"/>
                <w:sz w:val="16"/>
                <w:szCs w:val="16"/>
              </w:rPr>
            </w:pPr>
            <w:r w:rsidRPr="00870D13">
              <w:rPr>
                <w:noProof/>
                <w:sz w:val="16"/>
                <w:szCs w:val="16"/>
              </w:rPr>
              <w:t>MSI</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102" w:name="_Toc256000071"/>
      <w:r>
        <w:rPr>
          <w:noProof/>
        </w:rPr>
        <w:t>2.A.7 Social innovation, transnational cooperation and contribution to thematic objectives 1-7</w:t>
      </w:r>
      <w:bookmarkEnd w:id="102"/>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9"/>
        <w:gridCol w:w="1269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Priority axis</w:t>
            </w:r>
          </w:p>
        </w:tc>
        <w:tc>
          <w:tcPr>
            <w:shd w:val="clear" w:color="auto" w:fill="auto"/>
          </w:tcPr>
          <w:p w:rsidR="008D5009" w:rsidRPr="00597F64" w:rsidP="00426349">
            <w:pPr>
              <w:spacing w:before="0" w:after="0"/>
              <w:rPr>
                <w:b/>
                <w:sz w:val="18"/>
                <w:szCs w:val="18"/>
              </w:rPr>
            </w:pPr>
            <w:r w:rsidRPr="00597F64">
              <w:rPr>
                <w:b/>
                <w:noProof/>
                <w:sz w:val="16"/>
                <w:szCs w:val="16"/>
              </w:rPr>
              <w:t>AP2</w:t>
            </w:r>
            <w:r w:rsidRPr="00597F64">
              <w:rPr>
                <w:b/>
                <w:sz w:val="16"/>
                <w:szCs w:val="16"/>
              </w:rPr>
              <w:t xml:space="preserve">  -  </w:t>
            </w:r>
            <w:r w:rsidRPr="00597F64">
              <w:rPr>
                <w:b/>
                <w:noProof/>
                <w:sz w:val="16"/>
                <w:szCs w:val="16"/>
              </w:rPr>
              <w:t>Tehnologia informatiei si comunicatiilor (TIC) pentru o economie digitala competitiva</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103" w:name="_Toc256000072"/>
      <w:r>
        <w:rPr>
          <w:noProof/>
        </w:rPr>
        <w:t>2.A.8 Performance framework</w:t>
      </w:r>
      <w:bookmarkEnd w:id="103"/>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Table 6: Performance framework of the priority axis</w:t>
      </w:r>
      <w:r>
        <w:rPr>
          <w:noProof/>
        </w:rPr>
        <w:t xml:space="preserve"> </w:t>
      </w:r>
      <w:r>
        <w:rPr>
          <w:noProof/>
        </w:rPr>
        <w:t>(by fund and, for the ERDF and ESF, category of region)</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
        <w:gridCol w:w="776"/>
        <w:gridCol w:w="2276"/>
        <w:gridCol w:w="2276"/>
        <w:gridCol w:w="1718"/>
        <w:gridCol w:w="492"/>
        <w:gridCol w:w="947"/>
        <w:gridCol w:w="330"/>
        <w:gridCol w:w="336"/>
        <w:gridCol w:w="686"/>
        <w:gridCol w:w="330"/>
        <w:gridCol w:w="336"/>
        <w:gridCol w:w="861"/>
        <w:gridCol w:w="719"/>
        <w:gridCol w:w="224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Priority axis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AP2 - </w:t>
            </w:r>
            <w:r w:rsidRPr="0012258C">
              <w:rPr>
                <w:b/>
                <w:color w:val="000000"/>
                <w:sz w:val="10"/>
                <w:szCs w:val="10"/>
                <w:lang w:val="it-IT"/>
              </w:rPr>
              <w:t xml:space="preserve"> </w:t>
            </w:r>
            <w:r w:rsidRPr="0012258C">
              <w:rPr>
                <w:b/>
                <w:noProof/>
                <w:color w:val="000000"/>
                <w:sz w:val="10"/>
                <w:szCs w:val="10"/>
                <w:lang w:val="it-IT"/>
              </w:rPr>
              <w:t>Tehnologia informatiei si comunicatiilor (TIC) pentru o economie digitala competitiva</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Indicator type</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Indicator or key implementation step</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Measurement unit, where appropriate</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Fund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Category of region</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Milestone for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Final target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Source of data</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Explanation of relevance of indicator, where appropriate</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W</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T</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W</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T</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Suma totală a cheltuielii eligibile din sistemul contabil al autorităţii de certificare, certificată de această autoritate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ERDF</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Less developed</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67,964,555</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521,093,863.00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MFE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Suma totală a cheltuielii eligibile din sistemul contabil al autorităţii de certificare, certificată de această autoritate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ERDF</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More developed</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9,201,002</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70,545,380.00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MFE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3S21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Contracte de achiziții încheiate pentru proiectele care vizează 36 de evenimente de viata (Nivel de sofisticare IV)</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 contracte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ERDF</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Less developed</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MFE, MCSI</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3S21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Contracte de achiziții încheiate pentru proiectele care vizează 36 de evenimente de viata (Nivel de sofisticare IV)</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 contracte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ERDF</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More developed</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MFE, MCSI</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3S22</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Contracte de achiziții încheiate pentru proiecte care vizează implementarea Web 2.0 OER in educație în 2000 de școli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 contracte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ERDF</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Less developed</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MFE, MCSI</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3S22</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I</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Contracte de achiziții încheiate pentru proiecte care vizează implementarea Web 2.0 OER in educație în 2000 de școli</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 contracte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ERDF</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More developed</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100%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MFE, MCSI</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3S15</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O</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Servicii publice aferente evenimentelor de viață aduse la nivelul IV de sofisticare online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Servicii publice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ERDF</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Less developed</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28.00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MFE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3S15</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O</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Servicii publice aferente evenimentelor de viață aduse la nivelul IV de sofisticare online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Servicii publice</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ERDF</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More developed</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MFE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3S17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O</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Școli care utilizează OER, WEB 2.0 în educație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Scoli</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ERDF</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Less developed</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1,736.00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MFE</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3S17</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O</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Școli care utilizează OER, WEB 2.0 în educație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Scoli</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ERDF</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More developed</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264.00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MFE</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Additional qualitative information on the establishment of the performance framework</w:t>
      </w:r>
    </w:p>
    <w:p>
      <w:pPr>
        <w:spacing w:before="0" w:after="240"/>
        <w:jc w:val="left"/>
        <w:rPr>
          <w:rFonts w:ascii="Times New Roman" w:eastAsia="Times New Roman" w:hAnsi="Times New Roman" w:cs="Times New Roman"/>
        </w:rPr>
      </w:pPr>
      <w:r>
        <w:rPr>
          <w:rFonts w:ascii="Times New Roman" w:eastAsia="Times New Roman" w:hAnsi="Times New Roman" w:cs="Times New Roman"/>
          <w:i/>
          <w:iCs/>
        </w:rPr>
        <w:t>Stabilirea țintelor pentru indicatorul financiar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Ținta indicatorului financiar pentru 2023 a fost stabilită la un nivel de 100% din alocarea (FEDR+cofinantare Ro)  pentru POC; astfel, tinta indicatorului financiar pentru anul 2023 estei de 630,1 milioane Euro.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Stabilirea țintei la nivelul anului 2018 s-a realizat pe principiul atingerii nivelului minim de cheltuieli impus de regula N+3, necesar pentru evitarea dezangajării automate a fondurilor (soluție conservatoare). Au fost luate in considerare alocarile (FEDR+cofinantare Ro) fără rezerva de performanta din anii 2014 și 2015 din care s-au scazut sumele reprezentând prefinantarea initială din anii 2014, 2015 și 2016 și prefinanțarile anuale din anii 2016, 2017 și 2018. A rezultat astfel o țintă pentru anul 2018 de 77,1 milioane Euro.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Pentru actiunile corespunzatoare e-guvernare, e-sanatate, e-cultura, e-educatie impartirea indicatorilor de realizare imediata intre LDR/MDR s-a realizat luand in considerare alocarile pentru fiecare tip de regiune. Avand in vedere ca proiectele de acest tip sunt sistemice, strategice cu acoperire nationala, implementate de catre autoritati publice centrale, aceasta abordare a fost singura posibila.</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Selectarea indicatorilor de realizarea imediată pentru cadrul de performanță.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Din setul de indicatori de realizare imediată aferent programului au fost selectaţi doi indicatori care corespund unei alocări de peste 50% din alocarea pentru AP 2, respectiv:</w:t>
      </w:r>
    </w:p>
    <w:p>
      <w:pPr>
        <w:numPr>
          <w:ilvl w:val="0"/>
          <w:numId w:val="10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3S15 - Servicii publice aferente evenimentelor de viață aduse la nivelul IV de sofisticare on-line, corespunzător Acțiunii 2.3.1. din cadrul OS 2.3. (PI 2c)</w:t>
      </w:r>
    </w:p>
    <w:p>
      <w:pPr>
        <w:numPr>
          <w:ilvl w:val="0"/>
          <w:numId w:val="10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3S20 - Școli care utilizează Web 2.0 OER in educație, corespunzător Actiunii 2.3.3 din cadrul OS 2.4. (PI2c)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Valoarea totala a alocărilor este de 335,2 mil. Euro și reprezintă 53,0 % din alocarea AP 2 (531,9 milioane Euro), respectiv:</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Pentru LDR – 291,1 mil.euro (52,46 % din valoarea alocărilor AP2 pentru LDR).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Pentru MDR – 44,1 mil.euro (58,86 % din valoarea alocărilor AP2 pentru MDR).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Având în vedere faptul că durata medie de implementare a proiectelor din cadrul acțiunilor 2.3.1 și 2.3.3 pentru care au fost selectați indicatorii, este mai mare de 3 ani şi este necesară pregătirea instituțională și strategică a acestora (sprijin POCA), etapele cheie de implementare cu valoare de referință la anul 2018 se raportează la momentul ”semnării contractelor de achiziție” și sunt detaliate mai jos pentru fiecare indicator.</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Stabilirea țintelor pentru 2023 si 2018 pentru indicatorul de realizarea imediată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Tintele finale ale indicatorilor la nivelul anului 2023 au fost stabilite astfel:</w:t>
      </w:r>
    </w:p>
    <w:p>
      <w:pPr>
        <w:numPr>
          <w:ilvl w:val="0"/>
          <w:numId w:val="10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un număr de cel puțin 36 de Evenimente de Viață (nivel sofisticare IV) potrivit Strategiei Naționale Agenda Digitală pentru România</w:t>
      </w:r>
    </w:p>
    <w:p>
      <w:pPr>
        <w:numPr>
          <w:ilvl w:val="0"/>
          <w:numId w:val="10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numarul de 2000 de Școli care utilizează Web 2.0 OER in educație a fost stabilit pe baza experienţei accumulate în perioada 2007-2013 în implementarea unor intervenții similare corelată cu alocarea financiară.</w:t>
      </w:r>
    </w:p>
    <w:p w:rsidR="008D5009" w:rsidP="008D5009">
      <w:pPr>
        <w:suppressAutoHyphens/>
        <w:spacing w:before="0" w:after="0"/>
      </w:pP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104" w:name="_Toc256000073"/>
      <w:r>
        <w:rPr>
          <w:noProof/>
          <w:color w:val="000000"/>
        </w:rPr>
        <w:t>2.A.9 Categories of intervention</w:t>
      </w:r>
      <w:bookmarkEnd w:id="104"/>
    </w:p>
    <w:p w:rsidR="008D5009" w:rsidRPr="00AF73E7" w:rsidP="008D5009">
      <w:pPr>
        <w:spacing w:before="0" w:after="0"/>
      </w:pPr>
      <w:r w:rsidRPr="00AF73E7">
        <w:rPr>
          <w:noProof/>
        </w:rPr>
        <w:t>Categories of intervention corresponding to the content of the priority axis based on a nomenclature adopted by the Commission, and indicative breakdown of Union support.</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Tables 7-11: Categories of intervention</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Table 7: Dimension 1 - Intervention field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6"/>
        <w:gridCol w:w="803"/>
        <w:gridCol w:w="489"/>
        <w:gridCol w:w="11341"/>
        <w:gridCol w:w="123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Priority axis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AP2 - </w:t>
            </w:r>
            <w:r w:rsidRPr="00A15E2F">
              <w:rPr>
                <w:b/>
                <w:color w:val="000000"/>
                <w:sz w:val="16"/>
                <w:szCs w:val="16"/>
              </w:rPr>
              <w:t xml:space="preserve"> </w:t>
            </w:r>
            <w:r>
              <w:rPr>
                <w:b/>
                <w:noProof/>
                <w:color w:val="000000"/>
                <w:sz w:val="16"/>
                <w:szCs w:val="16"/>
              </w:rPr>
              <w:t>Tehnologia informatiei si comunicatiilor (TIC) pentru o economie digitala competitiva</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Fund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Category of region</w:t>
            </w:r>
          </w:p>
        </w:tc>
        <w:tc>
          <w:tcPr>
            <w:shd w:val="clear" w:color="auto" w:fill="auto"/>
          </w:tcPr>
          <w:p w:rsidR="008D5009" w:rsidRPr="004D625B" w:rsidP="00426349">
            <w:pPr>
              <w:spacing w:before="0" w:after="0"/>
              <w:jc w:val="center"/>
              <w:rPr>
                <w:b/>
                <w:sz w:val="16"/>
                <w:szCs w:val="16"/>
              </w:rPr>
            </w:pPr>
            <w:r w:rsidRPr="004D625B">
              <w:rPr>
                <w:b/>
                <w:noProof/>
                <w:sz w:val="16"/>
                <w:szCs w:val="16"/>
              </w:rPr>
              <w:t>Code</w:t>
            </w:r>
          </w:p>
        </w:tc>
        <w:tc>
          <w:tcPr>
            <w:shd w:val="clear" w:color="auto" w:fill="auto"/>
          </w:tcPr>
          <w:p w:rsidR="008D5009" w:rsidRPr="004D625B" w:rsidP="00426349">
            <w:pPr>
              <w:spacing w:before="0" w:after="0"/>
              <w:jc w:val="center"/>
              <w:rPr>
                <w:b/>
                <w:sz w:val="16"/>
                <w:szCs w:val="16"/>
              </w:rPr>
            </w:pPr>
            <w:r w:rsidRPr="004D625B">
              <w:rPr>
                <w:b/>
                <w:noProof/>
                <w:sz w:val="16"/>
                <w:szCs w:val="16"/>
              </w:rPr>
              <w:t>€ amount</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Less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045</w:t>
            </w:r>
            <w:r w:rsidRPr="00727EAD">
              <w:rPr>
                <w:color w:val="000000"/>
                <w:sz w:val="16"/>
                <w:szCs w:val="16"/>
              </w:rPr>
              <w:t xml:space="preserve">. </w:t>
            </w:r>
            <w:r w:rsidRPr="00727EAD">
              <w:rPr>
                <w:noProof/>
                <w:color w:val="000000"/>
                <w:sz w:val="16"/>
                <w:szCs w:val="16"/>
              </w:rPr>
              <w:t>ICT: Backbone/backhaul network</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45,779,730.26</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Less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046</w:t>
            </w:r>
            <w:r w:rsidRPr="00727EAD">
              <w:rPr>
                <w:color w:val="000000"/>
                <w:sz w:val="16"/>
                <w:szCs w:val="16"/>
              </w:rPr>
              <w:t xml:space="preserve">. </w:t>
            </w:r>
            <w:r w:rsidRPr="00727EAD">
              <w:rPr>
                <w:noProof/>
                <w:color w:val="000000"/>
                <w:sz w:val="16"/>
                <w:szCs w:val="16"/>
              </w:rPr>
              <w:t>ICT: High-speed broadband network (access/local loop; &gt;/= 30 Mbps)</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54,220,269.74</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Less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066</w:t>
            </w:r>
            <w:r w:rsidRPr="00727EAD">
              <w:rPr>
                <w:color w:val="000000"/>
                <w:sz w:val="16"/>
                <w:szCs w:val="16"/>
              </w:rPr>
              <w:t xml:space="preserve">. </w:t>
            </w:r>
            <w:r w:rsidRPr="00727EAD">
              <w:rPr>
                <w:noProof/>
                <w:color w:val="000000"/>
                <w:sz w:val="16"/>
                <w:szCs w:val="16"/>
              </w:rPr>
              <w:t>Advanced support services for SMEs and groups of SMEs (including management, marketing and design services)</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71,124,855.13</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More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066</w:t>
            </w:r>
            <w:r w:rsidRPr="00727EAD">
              <w:rPr>
                <w:color w:val="000000"/>
                <w:sz w:val="16"/>
                <w:szCs w:val="16"/>
              </w:rPr>
              <w:t xml:space="preserve">. </w:t>
            </w:r>
            <w:r w:rsidRPr="00727EAD">
              <w:rPr>
                <w:noProof/>
                <w:color w:val="000000"/>
                <w:sz w:val="16"/>
                <w:szCs w:val="16"/>
              </w:rPr>
              <w:t>Advanced support services for SMEs and groups of SMEs (including management, marketing and design services)</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20,598,787.30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Less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078</w:t>
            </w:r>
            <w:r w:rsidRPr="00727EAD">
              <w:rPr>
                <w:color w:val="000000"/>
                <w:sz w:val="16"/>
                <w:szCs w:val="16"/>
              </w:rPr>
              <w:t xml:space="preserve">. </w:t>
            </w:r>
            <w:r w:rsidRPr="00727EAD">
              <w:rPr>
                <w:noProof/>
                <w:color w:val="000000"/>
                <w:sz w:val="16"/>
                <w:szCs w:val="16"/>
              </w:rPr>
              <w:t>e-Government services and applications (including e-Procurement, ICT measures supporting the reform of public administration, cyber-security, trust and privacy measures, e-Justice and e-Democracy)</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168,168,143.00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More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078</w:t>
            </w:r>
            <w:r w:rsidRPr="00727EAD">
              <w:rPr>
                <w:color w:val="000000"/>
                <w:sz w:val="16"/>
                <w:szCs w:val="16"/>
              </w:rPr>
              <w:t xml:space="preserve">. </w:t>
            </w:r>
            <w:r w:rsidRPr="00727EAD">
              <w:rPr>
                <w:noProof/>
                <w:color w:val="000000"/>
                <w:sz w:val="16"/>
                <w:szCs w:val="16"/>
              </w:rPr>
              <w:t>e-Government services and applications (including e-Procurement, ICT measures supporting the reform of public administration, cyber-security, trust and privacy measures, e-Justice and e-Democracy)</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24,024,021.00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Less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079</w:t>
            </w:r>
            <w:r w:rsidRPr="00727EAD">
              <w:rPr>
                <w:color w:val="000000"/>
                <w:sz w:val="16"/>
                <w:szCs w:val="16"/>
              </w:rPr>
              <w:t xml:space="preserve">. </w:t>
            </w:r>
            <w:r w:rsidRPr="00727EAD">
              <w:rPr>
                <w:noProof/>
                <w:color w:val="000000"/>
                <w:sz w:val="16"/>
                <w:szCs w:val="16"/>
              </w:rPr>
              <w:t>Access to public sector information (including open data, e-Culture, digital libraries, e-Content and e-Tourism)</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8,070,933.00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More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079</w:t>
            </w:r>
            <w:r w:rsidRPr="00727EAD">
              <w:rPr>
                <w:color w:val="000000"/>
                <w:sz w:val="16"/>
                <w:szCs w:val="16"/>
              </w:rPr>
              <w:t xml:space="preserve">. </w:t>
            </w:r>
            <w:r w:rsidRPr="00727EAD">
              <w:rPr>
                <w:noProof/>
                <w:color w:val="000000"/>
                <w:sz w:val="16"/>
                <w:szCs w:val="16"/>
              </w:rPr>
              <w:t>Access to public sector information (including open data, e-Culture, digital libraries, e-Content and e-Tourism)</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1,152,990.00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Less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080</w:t>
            </w:r>
            <w:r w:rsidRPr="00727EAD">
              <w:rPr>
                <w:color w:val="000000"/>
                <w:sz w:val="16"/>
                <w:szCs w:val="16"/>
              </w:rPr>
              <w:t xml:space="preserve">. </w:t>
            </w:r>
            <w:r w:rsidRPr="00727EAD">
              <w:rPr>
                <w:noProof/>
                <w:color w:val="000000"/>
                <w:sz w:val="16"/>
                <w:szCs w:val="16"/>
              </w:rPr>
              <w:t>e-Inclusion, e-Accessibility, e-Learning and e-Education services and applications, digital literacy</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81,331,250.00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More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080</w:t>
            </w:r>
            <w:r w:rsidRPr="00727EAD">
              <w:rPr>
                <w:color w:val="000000"/>
                <w:sz w:val="16"/>
                <w:szCs w:val="16"/>
              </w:rPr>
              <w:t xml:space="preserve">. </w:t>
            </w:r>
            <w:r w:rsidRPr="00727EAD">
              <w:rPr>
                <w:noProof/>
                <w:color w:val="000000"/>
                <w:sz w:val="16"/>
                <w:szCs w:val="16"/>
              </w:rPr>
              <w:t>e-Inclusion, e-Accessibility, e-Learning and e-Education services and applications, digital literacy</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11,618,750.00</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Less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081</w:t>
            </w:r>
            <w:r w:rsidRPr="00727EAD">
              <w:rPr>
                <w:color w:val="000000"/>
                <w:sz w:val="16"/>
                <w:szCs w:val="16"/>
              </w:rPr>
              <w:t xml:space="preserve">. </w:t>
            </w:r>
            <w:r w:rsidRPr="00727EAD">
              <w:rPr>
                <w:noProof/>
                <w:color w:val="000000"/>
                <w:sz w:val="16"/>
                <w:szCs w:val="16"/>
              </w:rPr>
              <w:t>ICT solutions addressing the healthy active ageing challenge and e-Health services and applications (including e-Care and ambient assisted living)</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11,616,812.87</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More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081</w:t>
            </w:r>
            <w:r w:rsidRPr="00727EAD">
              <w:rPr>
                <w:color w:val="000000"/>
                <w:sz w:val="16"/>
                <w:szCs w:val="16"/>
              </w:rPr>
              <w:t xml:space="preserve">. </w:t>
            </w:r>
            <w:r w:rsidRPr="00727EAD">
              <w:rPr>
                <w:noProof/>
                <w:color w:val="000000"/>
                <w:sz w:val="16"/>
                <w:szCs w:val="16"/>
              </w:rPr>
              <w:t>ICT solutions addressing the healthy active ageing challenge and e-Health services and applications (including e-Care and ambient assisted living)</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1,659,544.70</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Table 8: Dimension 2 - Form of finance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4"/>
        <w:gridCol w:w="1622"/>
        <w:gridCol w:w="1802"/>
        <w:gridCol w:w="5642"/>
        <w:gridCol w:w="388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Priority axis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AP2 - </w:t>
            </w:r>
            <w:r w:rsidRPr="00A15E2F">
              <w:rPr>
                <w:b/>
                <w:color w:val="000000"/>
                <w:sz w:val="16"/>
                <w:szCs w:val="16"/>
              </w:rPr>
              <w:t xml:space="preserve"> </w:t>
            </w:r>
            <w:r>
              <w:rPr>
                <w:b/>
                <w:noProof/>
                <w:color w:val="000000"/>
                <w:sz w:val="16"/>
                <w:szCs w:val="16"/>
              </w:rPr>
              <w:t>Tehnologia informatiei si comunicatiilor (TIC) pentru o economie digitala competitiva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Fund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Category of region</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Code</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 amount</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Non-repayable grant</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499,366,087.00</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Table 9: Dimension 3 - Territory type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1"/>
        <w:gridCol w:w="1589"/>
        <w:gridCol w:w="2081"/>
        <w:gridCol w:w="4947"/>
        <w:gridCol w:w="432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Priority axis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AP2 - </w:t>
            </w:r>
            <w:r w:rsidRPr="00A15E2F">
              <w:rPr>
                <w:b/>
                <w:color w:val="000000"/>
                <w:sz w:val="16"/>
                <w:szCs w:val="16"/>
              </w:rPr>
              <w:t xml:space="preserve"> </w:t>
            </w:r>
            <w:r>
              <w:rPr>
                <w:b/>
                <w:noProof/>
                <w:color w:val="000000"/>
                <w:sz w:val="16"/>
                <w:szCs w:val="16"/>
              </w:rPr>
              <w:t>Tehnologia informatiei si comunicatiilor (TIC) pentru o economie digitala competitiva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Fund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Category of region</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Code</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 amount</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Not applicable</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499,366,087.00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Table 10: Dimension 4 - Territorial delivery mechanisms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84"/>
        <w:gridCol w:w="1461"/>
        <w:gridCol w:w="2131"/>
        <w:gridCol w:w="5067"/>
        <w:gridCol w:w="443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Priority axis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AP2</w:t>
            </w:r>
            <w:r w:rsidRPr="00C23AD8">
              <w:rPr>
                <w:b/>
                <w:color w:val="000000"/>
                <w:sz w:val="18"/>
                <w:szCs w:val="18"/>
              </w:rPr>
              <w:t xml:space="preserve"> - </w:t>
            </w:r>
            <w:r w:rsidRPr="00C23AD8">
              <w:rPr>
                <w:b/>
                <w:noProof/>
                <w:color w:val="000000"/>
                <w:sz w:val="18"/>
                <w:szCs w:val="18"/>
              </w:rPr>
              <w:t>Tehnologia informatiei si comunicatiilor (TIC) pentru o economie digitala competitiva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Fund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Category of region</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Code</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 amount</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Not applicable</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499,366,087.00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Table 11: Dimension 6 - ESF secondary theme</w:t>
      </w:r>
      <w:r>
        <w:rPr>
          <w:sz w:val="20"/>
          <w:lang w:eastAsia="en-GB"/>
        </w:rPr>
        <w:t xml:space="preserve"> </w:t>
      </w:r>
      <w:r>
        <w:rPr>
          <w:noProof/>
          <w:sz w:val="20"/>
          <w:lang w:eastAsia="en-GB"/>
        </w:rPr>
        <w:t>(ESF and YEI only)</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25"/>
        <w:gridCol w:w="1667"/>
        <w:gridCol w:w="3064"/>
        <w:gridCol w:w="3302"/>
        <w:gridCol w:w="491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Priority axis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AP2</w:t>
            </w:r>
            <w:r w:rsidRPr="00376E50">
              <w:rPr>
                <w:b/>
                <w:sz w:val="16"/>
                <w:szCs w:val="16"/>
              </w:rPr>
              <w:t xml:space="preserve"> - </w:t>
            </w:r>
            <w:r w:rsidRPr="00376E50">
              <w:rPr>
                <w:b/>
                <w:noProof/>
                <w:sz w:val="16"/>
                <w:szCs w:val="16"/>
              </w:rPr>
              <w:t>Tehnologia informatiei si comunicatiilor (TIC) pentru o economie digitala competitiva</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Fund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Category of region</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Code</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 amount</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105" w:name="_Toc256000074"/>
      <w:r>
        <w:rPr>
          <w:noProof/>
        </w:rPr>
        <w:t>2.A.10 Summary of the planned use of technical assistance including, where necessary, actions to reinforce the administrative capacity of authorities involved in the management and control of the programmes and beneficiaries</w:t>
      </w:r>
      <w:r>
        <w:rPr>
          <w:b w:val="0"/>
        </w:rPr>
        <w:t xml:space="preserve"> </w:t>
      </w:r>
      <w:r>
        <w:rPr>
          <w:b w:val="0"/>
          <w:noProof/>
        </w:rPr>
        <w:t>(where appropriate)</w:t>
      </w:r>
      <w:r>
        <w:rPr>
          <w:b w:val="0"/>
        </w:rPr>
        <w:t xml:space="preserve"> </w:t>
      </w:r>
      <w:r>
        <w:rPr>
          <w:b w:val="0"/>
          <w:noProof/>
        </w:rPr>
        <w:t>(by priority axis)</w:t>
      </w:r>
      <w:bookmarkEnd w:id="10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4"/>
        <w:gridCol w:w="1252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Priority axis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AP2</w:t>
            </w:r>
            <w:r w:rsidRPr="00376E50">
              <w:rPr>
                <w:b/>
                <w:sz w:val="16"/>
                <w:szCs w:val="16"/>
              </w:rPr>
              <w:t xml:space="preserve"> - </w:t>
            </w:r>
            <w:r w:rsidRPr="00376E50">
              <w:rPr>
                <w:b/>
                <w:noProof/>
                <w:sz w:val="16"/>
                <w:szCs w:val="16"/>
              </w:rPr>
              <w:t>Tehnologia informatiei si comunicatiilor (TIC) pentru o economie digitala competitiva</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Asistența tehnică pentru implementarea POC se va asigura prin POAT 2014-202 (pentru care autoritate de management este Ministerul Fondurilor Europene).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POAT 2014-2020 va asigura expertiza și sprijinul logistic pentru funcționarea AM-ului, OI-urilor și a altor organisme cu atribuții delegate în implementarea acestui program, precum si:</w:t>
            </w:r>
          </w:p>
          <w:p>
            <w:pPr>
              <w:numPr>
                <w:ilvl w:val="0"/>
                <w:numId w:val="10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instruire orizontală pentru personalul AM/OI, pentru potențialii beneficiari/beneficiarii POC</w:t>
            </w:r>
          </w:p>
          <w:p>
            <w:pPr>
              <w:numPr>
                <w:ilvl w:val="0"/>
                <w:numId w:val="10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instruire specifică pentru beneficiarii POC</w:t>
            </w:r>
          </w:p>
          <w:p>
            <w:pPr>
              <w:numPr>
                <w:ilvl w:val="0"/>
                <w:numId w:val="10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sprijin pentru dezvoltarea și punerea în practică de asistență orizontală specifică pentru beneficiarii POC</w:t>
            </w:r>
          </w:p>
          <w:p>
            <w:pPr>
              <w:numPr>
                <w:ilvl w:val="0"/>
                <w:numId w:val="10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diseminarea informaţiilor şi derularea activităţilor de informare şi publicitate cu privire la fondurile structurale și POC</w:t>
            </w:r>
          </w:p>
          <w:p>
            <w:pPr>
              <w:numPr>
                <w:ilvl w:val="0"/>
                <w:numId w:val="10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îmbunătățirea cadrului și condițiilor pentru coordonarea și controlul fondurilor structurale și pentru gestionarea POC.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La nivel specific este necesar sprijin pentru:</w:t>
            </w:r>
          </w:p>
          <w:p>
            <w:pPr>
              <w:numPr>
                <w:ilvl w:val="0"/>
                <w:numId w:val="10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întărirea capacității, organizarea și funcționarea CM POC, inclusiv a unor grupuri de lucru/rețele parteneriale specifice înființate pentru bună monitorizare și implementare a POC;</w:t>
            </w:r>
          </w:p>
          <w:p>
            <w:pPr>
              <w:numPr>
                <w:ilvl w:val="0"/>
                <w:numId w:val="10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elaborarea/actualizarea unor scheme de ajutor de stat;</w:t>
            </w:r>
          </w:p>
          <w:p>
            <w:pPr>
              <w:numPr>
                <w:ilvl w:val="0"/>
                <w:numId w:val="10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sprijin pentru elaborarea proiectelor integrate și coordonarea implementării acestora;</w:t>
            </w:r>
          </w:p>
          <w:p>
            <w:pPr>
              <w:numPr>
                <w:ilvl w:val="0"/>
                <w:numId w:val="10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experţi pentru evaluarea propunerilor de proiecte, precum şi experți pentru monitorizarea proiectelor, atât în stadiul de verificare administrativă a rapoartelor de progres, a cererilor de rambursare și pentru consultanță financiară.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9F202D" w:rsidP="008D5009">
      <w:pPr>
        <w:pStyle w:val="ManualHeading2"/>
        <w:spacing w:before="0" w:after="0"/>
        <w:rPr>
          <w:lang w:val="fr-BE"/>
        </w:rPr>
      </w:pPr>
      <w:bookmarkStart w:id="106" w:name="_Toc256000075"/>
      <w:r w:rsidRPr="009F202D">
        <w:rPr>
          <w:noProof/>
          <w:lang w:val="fr-BE"/>
        </w:rPr>
        <w:t>2.A.1 Priority axis</w:t>
      </w:r>
      <w:bookmarkEnd w:id="10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99"/>
        <w:gridCol w:w="1007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 of the priority axis</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AP3</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Title of the priority axis</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Sprijinirea IMM-urilor ca reacție la pandemia COVID -19</w:t>
            </w:r>
          </w:p>
        </w:tc>
      </w:tr>
    </w:tbl>
    <w:p w:rsidR="008D5009" w:rsidP="008D5009">
      <w:pPr>
        <w:autoSpaceDE w:val="0"/>
        <w:autoSpaceDN w:val="0"/>
        <w:adjustRightInd w:val="0"/>
        <w:spacing w:before="0" w:after="0"/>
      </w:pP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The entire priority axis will be implemented solely through financial instruments</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The entire priority axis will be implemented solely through financial instruments set up at Union level</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004E5210">
        <w:rPr>
          <w:noProof/>
          <w:color w:val="000000"/>
        </w:rPr>
        <w:t>The entire priority axis will be implemented through community-led local development</w:t>
      </w:r>
    </w:p>
    <w:p w:rsidR="008D5009" w:rsidRPr="0077228A" w:rsidP="008D5009">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ESF: The entire priority axis is dedicated to social innovation or to transnational cooperation, or both</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6F"/>
      </w:r>
      <w:r w:rsidRPr="0077228A">
        <w:t xml:space="preserve"> </w:t>
      </w:r>
      <w:r w:rsidRPr="0077228A">
        <w:rPr>
          <w:noProof/>
          <w:color w:val="000000"/>
        </w:rPr>
        <w:t>For the ERDF: The entire priority axis is dedicated to operations aimed at reconstruction in response to major or regional natural disasters</w:t>
      </w:r>
    </w:p>
    <w:p w:rsidR="004E5210" w:rsidRPr="0077228A" w:rsidP="004E5210">
      <w:pPr>
        <w:autoSpaceDE w:val="0"/>
        <w:autoSpaceDN w:val="0"/>
        <w:adjustRightInd w:val="0"/>
        <w:spacing w:before="0" w:after="0"/>
        <w:rPr>
          <w:color w:val="000000"/>
        </w:rPr>
      </w:pPr>
      <w:r w:rsidRPr="0077228A">
        <w:rPr>
          <w:rFonts w:ascii="Wingdings" w:hAnsi="Wingdings"/>
          <w:sz w:val="26"/>
          <w:szCs w:val="26"/>
          <w:lang w:eastAsia="en-GB"/>
        </w:rPr>
        <w:sym w:font="Wingdings" w:char="F0FE"/>
      </w:r>
      <w:r w:rsidRPr="0077228A">
        <w:t xml:space="preserve"> </w:t>
      </w:r>
      <w:r w:rsidRPr="0077228A">
        <w:rPr>
          <w:noProof/>
          <w:color w:val="000000"/>
        </w:rPr>
        <w:t>For the ERDF: The entire priority axis is dedicated to SME (Article 39)</w:t>
      </w:r>
    </w:p>
    <w:p w:rsidR="008D5009" w:rsidRPr="00495FED" w:rsidP="008D5009">
      <w:pPr>
        <w:pStyle w:val="Text1"/>
        <w:spacing w:before="0" w:after="0"/>
        <w:ind w:left="0"/>
      </w:pPr>
    </w:p>
    <w:p w:rsidR="008D5009" w:rsidRPr="009578F3" w:rsidP="008D5009">
      <w:pPr>
        <w:pStyle w:val="ManualHeading2"/>
        <w:tabs>
          <w:tab w:val="left" w:pos="0"/>
          <w:tab w:val="clear" w:pos="850"/>
        </w:tabs>
        <w:spacing w:before="0" w:after="0"/>
        <w:ind w:left="0" w:firstLine="0"/>
        <w:rPr>
          <w:b w:val="0"/>
          <w:color w:val="000000"/>
        </w:rPr>
      </w:pPr>
      <w:bookmarkStart w:id="107" w:name="_Toc256000076"/>
      <w:r>
        <w:rPr>
          <w:noProof/>
          <w:color w:val="000000"/>
        </w:rPr>
        <w:t>2.A.2 Justification for the establishment of a priority axis covering more than one category of region, thematic objective or fund</w:t>
      </w:r>
      <w:r>
        <w:rPr>
          <w:b w:val="0"/>
          <w:color w:val="000000"/>
        </w:rPr>
        <w:t xml:space="preserve"> </w:t>
      </w:r>
      <w:r>
        <w:rPr>
          <w:b w:val="0"/>
          <w:noProof/>
          <w:color w:val="000000"/>
        </w:rPr>
        <w:t>(where applicable)</w:t>
      </w:r>
      <w:bookmarkEnd w:id="107"/>
    </w:p>
    <w:p>
      <w:pPr>
        <w:spacing w:before="0" w:after="240"/>
        <w:jc w:val="left"/>
        <w:rPr>
          <w:rFonts w:ascii="Times New Roman" w:eastAsia="Times New Roman" w:hAnsi="Times New Roman" w:cs="Times New Roman"/>
        </w:rPr>
      </w:pPr>
      <w:r>
        <w:rPr>
          <w:rFonts w:ascii="Times New Roman" w:eastAsia="Times New Roman" w:hAnsi="Times New Roman" w:cs="Times New Roman"/>
        </w:rPr>
        <w:t>În contextul crizei economice generate de pandemia COVID 19, toate întreprinderile din România au fost afectate, indiferent de regiune.</w:t>
      </w:r>
    </w:p>
    <w:p w:rsidR="008D5009" w:rsidRPr="00EB22D2" w:rsidP="008D5009">
      <w:pPr>
        <w:pStyle w:val="Text1"/>
        <w:spacing w:before="0" w:after="0"/>
        <w:ind w:left="0"/>
        <w:rPr>
          <w:color w:val="000000"/>
        </w:rPr>
      </w:pPr>
    </w:p>
    <w:p w:rsidR="008D5009" w:rsidP="008D5009">
      <w:pPr>
        <w:spacing w:before="0" w:after="0"/>
      </w:pPr>
    </w:p>
    <w:p w:rsidR="008D5009" w:rsidRPr="001B0D0C" w:rsidP="008D5009">
      <w:pPr>
        <w:pStyle w:val="ManualHeading2"/>
        <w:spacing w:before="0" w:after="0"/>
      </w:pPr>
      <w:bookmarkStart w:id="108" w:name="_Toc256000077"/>
      <w:r>
        <w:rPr>
          <w:noProof/>
        </w:rPr>
        <w:t>2.A.3 Fund, category of region and calculation basis for Union support</w:t>
      </w:r>
      <w:bookmarkEnd w:id="108"/>
    </w:p>
    <w:tbl>
      <w:tblPr>
        <w:tblStyle w:val="TableNormal"/>
        <w:tblW w:w="5000" w:type="pct"/>
        <w:tblLook w:val="04A0"/>
      </w:tblPr>
      <w:tblGrid>
        <w:gridCol w:w="696"/>
        <w:gridCol w:w="1508"/>
        <w:gridCol w:w="5334"/>
        <w:gridCol w:w="7255"/>
      </w:tblGrid>
      <w:tr w:rsidTr="00426349">
        <w:tblPrEx>
          <w:tblW w:w="5000" w:type="pct"/>
          <w:tblLook w:val="04A0"/>
        </w:tblPrEx>
        <w:trPr>
          <w:trHeight w:val="288"/>
          <w:tblHeader/>
        </w:trPr>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Fund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Category of region</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D6078B" w:rsidP="00426349">
            <w:pPr>
              <w:pStyle w:val="Text1"/>
              <w:spacing w:before="0" w:after="0"/>
              <w:ind w:left="0"/>
              <w:jc w:val="center"/>
              <w:rPr>
                <w:b/>
                <w:color w:val="000000"/>
                <w:sz w:val="18"/>
                <w:szCs w:val="18"/>
              </w:rPr>
            </w:pPr>
            <w:r w:rsidRPr="00D6078B">
              <w:rPr>
                <w:b/>
                <w:noProof/>
                <w:color w:val="000000"/>
                <w:sz w:val="18"/>
                <w:szCs w:val="18"/>
              </w:rPr>
              <w:t>Calculation basis (total eligible expenditure or eligible public expenditure)</w:t>
            </w:r>
          </w:p>
        </w:tc>
        <w:tc>
          <w:tcPr>
            <w:tcBorders>
              <w:top w:val="single" w:sz="4" w:space="0" w:color="auto"/>
              <w:left w:val="single" w:sz="4" w:space="0" w:color="auto"/>
              <w:bottom w:val="single" w:sz="4" w:space="0" w:color="auto"/>
              <w:right w:val="single" w:sz="4" w:space="0" w:color="auto"/>
            </w:tcBorders>
          </w:tcPr>
          <w:p w:rsidR="008D5009" w:rsidRPr="00D6078B" w:rsidP="00426349">
            <w:pPr>
              <w:pStyle w:val="Text1"/>
              <w:spacing w:before="0" w:after="0"/>
              <w:ind w:left="0"/>
              <w:jc w:val="center"/>
              <w:rPr>
                <w:b/>
                <w:color w:val="000000"/>
                <w:sz w:val="18"/>
                <w:szCs w:val="18"/>
              </w:rPr>
            </w:pPr>
            <w:r>
              <w:rPr>
                <w:b/>
                <w:noProof/>
                <w:color w:val="000000"/>
                <w:sz w:val="18"/>
                <w:szCs w:val="18"/>
              </w:rPr>
              <w:t>Category of region for outermost regions and northern sparsely populated  regions (where applicable)</w:t>
            </w: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Less developed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Pr="007C1D98" w:rsidR="005944B6">
              <w:rPr>
                <w:noProof/>
                <w:sz w:val="18"/>
                <w:szCs w:val="18"/>
              </w:rPr>
              <w:t>Public</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r w:rsidTr="000C6A79">
        <w:tblPrEx>
          <w:tblW w:w="5000" w:type="pct"/>
          <w:tblLook w:val="04A0"/>
        </w:tblPrEx>
        <w:trPr>
          <w:trHeight w:val="170"/>
        </w:trPr>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ERDF</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4D0504" w:rsidP="00426349">
            <w:pPr>
              <w:pStyle w:val="Text1"/>
              <w:spacing w:before="0" w:after="0"/>
              <w:ind w:left="0"/>
              <w:rPr>
                <w:color w:val="000000"/>
                <w:sz w:val="18"/>
                <w:szCs w:val="18"/>
              </w:rPr>
            </w:pPr>
            <w:r w:rsidRPr="004D0504">
              <w:rPr>
                <w:noProof/>
                <w:color w:val="000000"/>
                <w:sz w:val="18"/>
                <w:szCs w:val="18"/>
              </w:rPr>
              <w:t>More developed</w:t>
            </w:r>
          </w:p>
        </w:tc>
        <w:tc>
          <w:tcPr>
            <w:tcBorders>
              <w:top w:val="single" w:sz="4" w:space="0" w:color="auto"/>
              <w:left w:val="single" w:sz="4" w:space="0" w:color="auto"/>
              <w:bottom w:val="single" w:sz="4" w:space="0" w:color="auto"/>
              <w:right w:val="single" w:sz="4" w:space="0" w:color="auto"/>
            </w:tcBorders>
            <w:shd w:val="clear" w:color="auto" w:fill="auto"/>
          </w:tcPr>
          <w:p w:rsidR="008D5009" w:rsidRPr="0025530C" w:rsidP="00426349">
            <w:pPr>
              <w:pStyle w:val="Text1"/>
              <w:spacing w:before="0" w:after="0"/>
              <w:ind w:left="0"/>
              <w:rPr>
                <w:color w:val="000000"/>
                <w:sz w:val="18"/>
                <w:szCs w:val="18"/>
              </w:rPr>
            </w:pPr>
            <w:r w:rsidRPr="007C1D98" w:rsidR="005944B6">
              <w:rPr>
                <w:noProof/>
                <w:sz w:val="18"/>
                <w:szCs w:val="18"/>
              </w:rPr>
              <w:t>Public</w:t>
            </w:r>
          </w:p>
        </w:tc>
        <w:tc>
          <w:tcPr>
            <w:tcBorders>
              <w:top w:val="single" w:sz="4" w:space="0" w:color="auto"/>
              <w:left w:val="single" w:sz="4" w:space="0" w:color="auto"/>
              <w:bottom w:val="single" w:sz="4" w:space="0" w:color="auto"/>
              <w:right w:val="single" w:sz="4" w:space="0" w:color="auto"/>
            </w:tcBorders>
          </w:tcPr>
          <w:p w:rsidR="008D5009" w:rsidRPr="004D0504" w:rsidP="00426349">
            <w:pPr>
              <w:pStyle w:val="Text1"/>
              <w:spacing w:before="0" w:after="0"/>
              <w:ind w:left="0"/>
              <w:rPr>
                <w:color w:val="000000"/>
                <w:sz w:val="18"/>
                <w:szCs w:val="18"/>
              </w:rPr>
            </w:pPr>
          </w:p>
        </w:tc>
      </w:tr>
    </w:tbl>
    <w:p w:rsidR="008D5009" w:rsidP="008D5009">
      <w:pPr>
        <w:pStyle w:val="Text1"/>
        <w:spacing w:before="0" w:after="0"/>
        <w:rPr>
          <w:i/>
        </w:rPr>
      </w:pPr>
    </w:p>
    <w:p w:rsidR="008D5009" w:rsidP="008D5009">
      <w:pPr>
        <w:pStyle w:val="ManualHeading2"/>
        <w:spacing w:before="0" w:after="0"/>
        <w:rPr>
          <w:sz w:val="20"/>
          <w:szCs w:val="20"/>
        </w:rPr>
      </w:pPr>
      <w:bookmarkStart w:id="109" w:name="_Toc256000078"/>
      <w:r>
        <w:rPr>
          <w:noProof/>
        </w:rPr>
        <w:t>2.A.4 Investment priority</w:t>
      </w:r>
      <w:bookmarkEnd w:id="10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03"/>
        <w:gridCol w:w="1157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D6078B" w:rsidP="00426349">
            <w:pPr>
              <w:pStyle w:val="Text1"/>
              <w:spacing w:before="0" w:after="0"/>
              <w:ind w:left="0"/>
              <w:rPr>
                <w:b/>
                <w:sz w:val="18"/>
                <w:szCs w:val="18"/>
              </w:rPr>
            </w:pPr>
            <w:r>
              <w:rPr>
                <w:b/>
                <w:noProof/>
                <w:sz w:val="18"/>
                <w:szCs w:val="18"/>
              </w:rPr>
              <w:t>ID of the investment priority</w:t>
            </w:r>
          </w:p>
        </w:tc>
        <w:tc>
          <w:tcPr>
            <w:shd w:val="clear" w:color="auto" w:fill="auto"/>
            <w:vAlign w:val="center"/>
          </w:tcPr>
          <w:p w:rsidR="008D5009" w:rsidRPr="006D78B0" w:rsidP="00426349">
            <w:pPr>
              <w:pStyle w:val="Text1"/>
              <w:spacing w:before="0" w:after="0"/>
              <w:ind w:left="0"/>
              <w:rPr>
                <w:b/>
                <w:sz w:val="18"/>
                <w:szCs w:val="18"/>
              </w:rPr>
            </w:pPr>
            <w:r w:rsidRPr="006D78B0">
              <w:rPr>
                <w:noProof/>
                <w:sz w:val="18"/>
                <w:szCs w:val="18"/>
              </w:rPr>
              <w:t>3d</w:t>
            </w:r>
          </w:p>
        </w:tc>
      </w:tr>
      <w:tr w:rsidTr="004375CA">
        <w:tblPrEx>
          <w:tblW w:w="5000" w:type="pct"/>
          <w:tblLook w:val="04A0"/>
        </w:tblPrEx>
        <w:trPr>
          <w:trHeight w:val="170"/>
        </w:trPr>
        <w:tc>
          <w:tcPr>
            <w:shd w:val="clear" w:color="auto" w:fill="auto"/>
          </w:tcPr>
          <w:p w:rsidR="008D5009" w:rsidRPr="00D6078B" w:rsidP="00426349">
            <w:pPr>
              <w:pStyle w:val="Text1"/>
              <w:spacing w:before="0" w:after="0"/>
              <w:ind w:left="0"/>
              <w:rPr>
                <w:sz w:val="18"/>
                <w:szCs w:val="18"/>
              </w:rPr>
            </w:pPr>
            <w:r>
              <w:rPr>
                <w:b/>
                <w:noProof/>
                <w:sz w:val="18"/>
                <w:szCs w:val="18"/>
              </w:rPr>
              <w:t>Title of the investment priority</w:t>
            </w:r>
          </w:p>
        </w:tc>
        <w:tc>
          <w:tcPr>
            <w:shd w:val="clear" w:color="auto" w:fill="auto"/>
          </w:tcPr>
          <w:p w:rsidR="008D5009" w:rsidRPr="006D78B0" w:rsidP="00426349">
            <w:pPr>
              <w:pStyle w:val="Text1"/>
              <w:spacing w:before="0" w:after="0"/>
              <w:ind w:left="0"/>
              <w:rPr>
                <w:sz w:val="18"/>
                <w:szCs w:val="18"/>
              </w:rPr>
            </w:pPr>
            <w:r w:rsidRPr="006D78B0">
              <w:rPr>
                <w:noProof/>
                <w:sz w:val="18"/>
                <w:szCs w:val="18"/>
              </w:rPr>
              <w:t>Supporting the capacity of SMEs to grow in regional, national and international markets, and to engage in innovation processes</w:t>
            </w:r>
          </w:p>
        </w:tc>
      </w:tr>
    </w:tbl>
    <w:p w:rsidR="008D5009" w:rsidP="008D5009">
      <w:pPr>
        <w:spacing w:before="0" w:after="0"/>
        <w:rPr>
          <w:sz w:val="22"/>
          <w:szCs w:val="22"/>
        </w:rPr>
      </w:pPr>
    </w:p>
    <w:p w:rsidR="008D5009" w:rsidRPr="00603402" w:rsidP="008D5009">
      <w:pPr>
        <w:pStyle w:val="ManualHeading2"/>
        <w:keepLines/>
        <w:spacing w:before="0" w:after="0"/>
      </w:pPr>
      <w:bookmarkStart w:id="110" w:name="_Toc256000079"/>
      <w:r>
        <w:rPr>
          <w:noProof/>
        </w:rPr>
        <w:t>2.A.5 Specific objectives corresponding to the investment priority and expected results</w:t>
      </w:r>
      <w:bookmarkEnd w:id="110"/>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64"/>
        <w:gridCol w:w="9310"/>
      </w:tblGrid>
      <w:tr w:rsidTr="004375C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rPr>
        <w:tc>
          <w:tcPr>
            <w:shd w:val="clear" w:color="auto" w:fill="auto"/>
          </w:tcPr>
          <w:p w:rsidR="008D5009" w:rsidRPr="00D6078B" w:rsidP="00426349">
            <w:pPr>
              <w:pStyle w:val="Text1"/>
              <w:spacing w:before="0" w:after="0"/>
              <w:ind w:left="0"/>
              <w:rPr>
                <w:b/>
                <w:sz w:val="18"/>
                <w:szCs w:val="18"/>
              </w:rPr>
            </w:pPr>
            <w:r>
              <w:rPr>
                <w:b/>
                <w:noProof/>
                <w:sz w:val="18"/>
                <w:szCs w:val="18"/>
              </w:rPr>
              <w:t>ID of the specific objective</w:t>
            </w:r>
          </w:p>
        </w:tc>
        <w:tc>
          <w:tcPr>
            <w:shd w:val="clear" w:color="auto" w:fill="auto"/>
          </w:tcPr>
          <w:p w:rsidR="008D5009" w:rsidRPr="00D6078B" w:rsidP="00426349">
            <w:pPr>
              <w:pStyle w:val="Text1"/>
              <w:spacing w:before="0" w:after="0"/>
              <w:ind w:left="0"/>
              <w:rPr>
                <w:b/>
                <w:sz w:val="18"/>
                <w:szCs w:val="18"/>
              </w:rPr>
            </w:pPr>
            <w:r>
              <w:rPr>
                <w:noProof/>
                <w:sz w:val="18"/>
                <w:szCs w:val="18"/>
              </w:rPr>
              <w:t>OS3.1</w:t>
            </w:r>
          </w:p>
        </w:tc>
      </w:tr>
      <w:tr w:rsidTr="00426349">
        <w:tblPrEx>
          <w:tblW w:w="5000" w:type="pct"/>
          <w:tblLook w:val="04A0"/>
        </w:tblPrEx>
        <w:trPr>
          <w:trHeight w:val="288"/>
        </w:trPr>
        <w:tc>
          <w:tcPr>
            <w:shd w:val="clear" w:color="auto" w:fill="auto"/>
          </w:tcPr>
          <w:p w:rsidR="008D5009" w:rsidRPr="00D6078B" w:rsidP="00426349">
            <w:pPr>
              <w:pStyle w:val="Text1"/>
              <w:spacing w:before="0" w:after="0"/>
              <w:ind w:left="0"/>
              <w:rPr>
                <w:sz w:val="18"/>
                <w:szCs w:val="18"/>
              </w:rPr>
            </w:pPr>
            <w:r>
              <w:rPr>
                <w:b/>
                <w:noProof/>
                <w:sz w:val="18"/>
                <w:szCs w:val="18"/>
              </w:rPr>
              <w:t>Title of the specific objective</w:t>
            </w:r>
          </w:p>
        </w:tc>
        <w:tc>
          <w:tcPr>
            <w:shd w:val="clear" w:color="auto" w:fill="auto"/>
          </w:tcPr>
          <w:p w:rsidR="008D5009" w:rsidRPr="00D6078B" w:rsidP="00426349">
            <w:pPr>
              <w:pStyle w:val="Text1"/>
              <w:spacing w:before="0" w:after="0"/>
              <w:ind w:left="0"/>
              <w:rPr>
                <w:sz w:val="18"/>
                <w:szCs w:val="18"/>
              </w:rPr>
            </w:pPr>
            <w:r w:rsidRPr="00D6078B">
              <w:rPr>
                <w:noProof/>
                <w:sz w:val="18"/>
                <w:szCs w:val="18"/>
              </w:rPr>
              <w:t>Consolidarea poziției pe piață a IMM-urilor afectate de pandemia COVID-19</w:t>
            </w:r>
          </w:p>
        </w:tc>
      </w:tr>
      <w:tr w:rsidTr="004375CA">
        <w:tblPrEx>
          <w:tblW w:w="5000" w:type="pct"/>
          <w:tblLook w:val="04A0"/>
        </w:tblPrEx>
        <w:trPr>
          <w:trHeight w:val="170"/>
        </w:trPr>
        <w:tc>
          <w:tcPr>
            <w:shd w:val="clear" w:color="auto" w:fill="auto"/>
          </w:tcPr>
          <w:p w:rsidR="008D5009" w:rsidRPr="00D6078B" w:rsidP="00426349">
            <w:pPr>
              <w:spacing w:before="0" w:after="0"/>
              <w:rPr>
                <w:sz w:val="18"/>
                <w:szCs w:val="18"/>
              </w:rPr>
            </w:pPr>
            <w:r>
              <w:rPr>
                <w:b/>
                <w:noProof/>
                <w:sz w:val="18"/>
                <w:szCs w:val="18"/>
              </w:rPr>
              <w:t>Results that the Member States seek to achieve with Union support</w:t>
            </w:r>
          </w:p>
        </w:tc>
        <w:tc>
          <w:tcPr>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Menținerea pe piață a IMM-urilor și în special a microîntreprinderilor la 3 ani de la înființare</w:t>
            </w:r>
          </w:p>
          <w:p w:rsidR="008D5009" w:rsidRPr="00D6078B" w:rsidP="00426349">
            <w:pPr>
              <w:pStyle w:val="Text1"/>
              <w:spacing w:before="0" w:after="0"/>
              <w:ind w:left="0"/>
              <w:rPr>
                <w:sz w:val="18"/>
                <w:szCs w:val="18"/>
              </w:rPr>
            </w:pPr>
          </w:p>
        </w:tc>
      </w:tr>
    </w:tbl>
    <w:p w:rsidR="008D5009" w:rsidRPr="00837F13" w:rsidP="008D5009">
      <w:pPr>
        <w:spacing w:before="0" w:after="0"/>
        <w:rPr>
          <w:color w:val="000000"/>
          <w:sz w:val="16"/>
          <w:szCs w:val="16"/>
        </w:rPr>
      </w:pPr>
      <w:r w:rsidRPr="001E50F1">
        <w:rPr>
          <w:b/>
        </w:rPr>
        <w:br w:type="page"/>
      </w:r>
      <w:r>
        <w:rPr>
          <w:b/>
          <w:noProof/>
          <w:color w:val="000000"/>
        </w:rPr>
        <w:t>Table 3: Programme-specific result indicators, by specific objective</w:t>
      </w:r>
      <w:r>
        <w:rPr>
          <w:color w:val="000000"/>
        </w:rPr>
        <w:t xml:space="preserve"> </w:t>
      </w:r>
      <w:r>
        <w:rPr>
          <w:noProof/>
          <w:color w:val="000000"/>
        </w:rPr>
        <w:t>(for the ERDF and the Cohesion Fund)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4"/>
        <w:gridCol w:w="4116"/>
        <w:gridCol w:w="1373"/>
        <w:gridCol w:w="2462"/>
        <w:gridCol w:w="1111"/>
        <w:gridCol w:w="1054"/>
        <w:gridCol w:w="1442"/>
        <w:gridCol w:w="1123"/>
        <w:gridCol w:w="167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D6078B" w:rsidP="00426349">
            <w:pPr>
              <w:spacing w:before="0" w:after="0"/>
              <w:rPr>
                <w:b/>
                <w:sz w:val="18"/>
                <w:szCs w:val="18"/>
              </w:rPr>
            </w:pPr>
            <w:r>
              <w:rPr>
                <w:b/>
                <w:noProof/>
                <w:sz w:val="18"/>
                <w:szCs w:val="18"/>
              </w:rPr>
              <w:t>Specific objective</w:t>
            </w:r>
          </w:p>
        </w:tc>
        <w:tc>
          <w:tcPr>
            <w:gridSpan w:val="7"/>
            <w:shd w:val="clear" w:color="auto" w:fill="auto"/>
          </w:tcPr>
          <w:p w:rsidR="008D5009" w:rsidRPr="00D6078B" w:rsidP="00426349">
            <w:pPr>
              <w:spacing w:before="0" w:after="0"/>
              <w:rPr>
                <w:b/>
                <w:sz w:val="18"/>
                <w:szCs w:val="18"/>
              </w:rPr>
            </w:pPr>
            <w:r>
              <w:rPr>
                <w:b/>
                <w:noProof/>
                <w:sz w:val="18"/>
                <w:szCs w:val="18"/>
              </w:rPr>
              <w:t xml:space="preserve">OS3.1 - </w:t>
            </w:r>
            <w:r>
              <w:rPr>
                <w:b/>
                <w:noProof/>
                <w:sz w:val="18"/>
                <w:szCs w:val="18"/>
              </w:rPr>
              <w:t>Consolidarea poziției pe piață a IMM-urilor afectate de pandemia COVID-19</w:t>
            </w:r>
          </w:p>
        </w:tc>
      </w:tr>
      <w:tr w:rsidTr="00426349">
        <w:tblPrEx>
          <w:tblW w:w="5000" w:type="pct"/>
          <w:tblLook w:val="04A0"/>
        </w:tblPrEx>
        <w:trPr>
          <w:trHeight w:val="288"/>
        </w:trPr>
        <w:tc>
          <w:tcPr>
            <w:shd w:val="clear" w:color="auto" w:fill="auto"/>
          </w:tcPr>
          <w:p w:rsidR="008D5009" w:rsidRPr="007B722E" w:rsidP="00426349">
            <w:pPr>
              <w:spacing w:before="0" w:after="0"/>
              <w:jc w:val="center"/>
              <w:rPr>
                <w:b/>
                <w:sz w:val="16"/>
                <w:szCs w:val="16"/>
              </w:rPr>
            </w:pPr>
            <w:r>
              <w:rPr>
                <w:b/>
                <w:noProof/>
                <w:color w:val="000000"/>
                <w:sz w:val="16"/>
                <w:szCs w:val="16"/>
              </w:rPr>
              <w:t>ID</w:t>
            </w:r>
          </w:p>
        </w:tc>
        <w:tc>
          <w:tcPr>
            <w:shd w:val="clear" w:color="auto" w:fill="auto"/>
          </w:tcPr>
          <w:p w:rsidR="008D5009" w:rsidRPr="00530EF1" w:rsidP="00426349">
            <w:pPr>
              <w:spacing w:before="0" w:after="0"/>
              <w:jc w:val="center"/>
              <w:rPr>
                <w:b/>
                <w:sz w:val="16"/>
                <w:szCs w:val="16"/>
              </w:rPr>
            </w:pPr>
            <w:r>
              <w:rPr>
                <w:b/>
                <w:noProof/>
                <w:color w:val="000000"/>
                <w:sz w:val="16"/>
                <w:szCs w:val="16"/>
              </w:rPr>
              <w:t>Indicator</w:t>
            </w:r>
          </w:p>
        </w:tc>
        <w:tc>
          <w:tcPr>
            <w:shd w:val="clear" w:color="auto" w:fill="auto"/>
          </w:tcPr>
          <w:p w:rsidR="008D5009" w:rsidRPr="00913A1A" w:rsidP="00426349">
            <w:pPr>
              <w:spacing w:before="0" w:after="0"/>
              <w:jc w:val="center"/>
              <w:rPr>
                <w:b/>
                <w:sz w:val="16"/>
                <w:szCs w:val="16"/>
              </w:rPr>
            </w:pPr>
            <w:r>
              <w:rPr>
                <w:b/>
                <w:noProof/>
                <w:color w:val="000000"/>
                <w:sz w:val="16"/>
                <w:szCs w:val="16"/>
              </w:rPr>
              <w:t>Measurement unit</w:t>
            </w:r>
          </w:p>
        </w:tc>
        <w:tc>
          <w:tcPr/>
          <w:p w:rsidR="008D5009" w:rsidRPr="007B722E" w:rsidP="00426349">
            <w:pPr>
              <w:spacing w:before="0" w:after="0"/>
              <w:jc w:val="center"/>
              <w:rPr>
                <w:b/>
                <w:color w:val="000000"/>
                <w:sz w:val="16"/>
                <w:szCs w:val="16"/>
              </w:rPr>
            </w:pPr>
            <w:r>
              <w:rPr>
                <w:b/>
                <w:noProof/>
                <w:color w:val="000000"/>
                <w:sz w:val="16"/>
                <w:szCs w:val="16"/>
              </w:rPr>
              <w:t>Category of region (where relevant)</w:t>
            </w:r>
          </w:p>
        </w:tc>
        <w:tc>
          <w:tcPr>
            <w:shd w:val="clear" w:color="auto" w:fill="auto"/>
          </w:tcPr>
          <w:p w:rsidR="008D5009" w:rsidRPr="007B722E" w:rsidP="00426349">
            <w:pPr>
              <w:spacing w:before="0" w:after="0"/>
              <w:jc w:val="center"/>
              <w:rPr>
                <w:b/>
                <w:sz w:val="16"/>
                <w:szCs w:val="16"/>
              </w:rPr>
            </w:pPr>
            <w:r>
              <w:rPr>
                <w:b/>
                <w:noProof/>
                <w:color w:val="000000"/>
                <w:sz w:val="16"/>
                <w:szCs w:val="16"/>
              </w:rPr>
              <w:t>Baseline value</w:t>
            </w:r>
          </w:p>
        </w:tc>
        <w:tc>
          <w:tcPr>
            <w:shd w:val="clear" w:color="auto" w:fill="auto"/>
          </w:tcPr>
          <w:p w:rsidR="008D5009" w:rsidRPr="001D1F31" w:rsidP="00426349">
            <w:pPr>
              <w:spacing w:before="0" w:after="0"/>
              <w:jc w:val="center"/>
              <w:rPr>
                <w:b/>
                <w:sz w:val="16"/>
                <w:szCs w:val="16"/>
              </w:rPr>
            </w:pPr>
            <w:r w:rsidRPr="00530EF1">
              <w:rPr>
                <w:b/>
                <w:noProof/>
                <w:color w:val="000000"/>
                <w:sz w:val="16"/>
                <w:szCs w:val="16"/>
              </w:rPr>
              <w:t>Baseline year</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Target value (2023)</w:t>
            </w:r>
          </w:p>
        </w:tc>
        <w:tc>
          <w:tcPr>
            <w:shd w:val="clear" w:color="auto" w:fill="auto"/>
          </w:tcPr>
          <w:p w:rsidR="008D5009" w:rsidRPr="00530EF1" w:rsidP="00426349">
            <w:pPr>
              <w:spacing w:before="0" w:after="0"/>
              <w:jc w:val="center"/>
              <w:rPr>
                <w:b/>
                <w:sz w:val="16"/>
                <w:szCs w:val="16"/>
              </w:rPr>
            </w:pPr>
            <w:r w:rsidRPr="00530EF1">
              <w:rPr>
                <w:b/>
                <w:noProof/>
                <w:color w:val="000000"/>
                <w:sz w:val="16"/>
                <w:szCs w:val="16"/>
              </w:rPr>
              <w:t>Source of data</w:t>
            </w:r>
          </w:p>
        </w:tc>
        <w:tc>
          <w:tcPr>
            <w:shd w:val="clear" w:color="auto" w:fill="auto"/>
          </w:tcPr>
          <w:p w:rsidR="008D5009" w:rsidRPr="007B722E" w:rsidP="00426349">
            <w:pPr>
              <w:spacing w:before="0" w:after="0"/>
              <w:jc w:val="center"/>
              <w:rPr>
                <w:b/>
                <w:sz w:val="16"/>
                <w:szCs w:val="16"/>
              </w:rPr>
            </w:pPr>
            <w:r w:rsidRPr="00530EF1">
              <w:rPr>
                <w:b/>
                <w:noProof/>
                <w:color w:val="000000"/>
                <w:sz w:val="16"/>
                <w:szCs w:val="16"/>
              </w:rPr>
              <w:t>Frequency of reporting</w:t>
            </w:r>
          </w:p>
        </w:tc>
      </w:tr>
      <w:tr w:rsidTr="00426349">
        <w:tblPrEx>
          <w:tblW w:w="5000" w:type="pct"/>
          <w:tblLook w:val="04A0"/>
        </w:tblPrEx>
        <w:trPr>
          <w:trHeight w:val="288"/>
        </w:trPr>
        <w:tc>
          <w:tcPr>
            <w:shd w:val="clear" w:color="auto" w:fill="auto"/>
            <w:tcMar>
              <w:left w:w="57" w:type="dxa"/>
              <w:right w:w="57" w:type="dxa"/>
            </w:tcMar>
          </w:tcPr>
          <w:p w:rsidR="008D5009" w:rsidRPr="0087147F" w:rsidP="00426349">
            <w:pPr>
              <w:spacing w:before="0" w:after="0"/>
              <w:ind w:firstLine="1"/>
              <w:rPr>
                <w:sz w:val="16"/>
                <w:szCs w:val="16"/>
              </w:rPr>
            </w:pPr>
            <w:r w:rsidRPr="0087147F">
              <w:rPr>
                <w:noProof/>
                <w:sz w:val="16"/>
                <w:szCs w:val="16"/>
              </w:rPr>
              <w:t>1S3</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Rata de supraviețuire a microîntreprinderilor la 3 ani de la înființare</w:t>
            </w:r>
          </w:p>
        </w:tc>
        <w:tc>
          <w:tcPr>
            <w:shd w:val="clear" w:color="auto" w:fill="auto"/>
            <w:tcMar>
              <w:left w:w="57" w:type="dxa"/>
              <w:right w:w="57" w:type="dxa"/>
            </w:tcMar>
          </w:tcPr>
          <w:p w:rsidR="008D5009" w:rsidRPr="0087147F" w:rsidP="00426349">
            <w:pPr>
              <w:spacing w:before="0" w:after="0"/>
              <w:rPr>
                <w:sz w:val="16"/>
                <w:szCs w:val="16"/>
              </w:rPr>
            </w:pPr>
            <w:r w:rsidRPr="0087147F">
              <w:rPr>
                <w:noProof/>
                <w:sz w:val="16"/>
                <w:szCs w:val="16"/>
              </w:rPr>
              <w:t>%</w:t>
            </w:r>
          </w:p>
        </w:tc>
        <w:tc>
          <w:tcPr>
            <w:tcMar>
              <w:left w:w="57" w:type="dxa"/>
              <w:right w:w="57" w:type="dxa"/>
            </w:tcMar>
          </w:tcPr>
          <w:p w:rsidR="008D5009" w:rsidRPr="0087147F" w:rsidP="00426349">
            <w:pPr>
              <w:spacing w:before="0" w:after="0"/>
              <w:rPr>
                <w:color w:val="000000"/>
                <w:sz w:val="16"/>
                <w:szCs w:val="16"/>
                <w:lang w:val="da-DK"/>
              </w:rPr>
            </w:pP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62.80</w:t>
            </w:r>
          </w:p>
        </w:tc>
        <w:tc>
          <w:tcPr>
            <w:shd w:val="clear" w:color="auto" w:fill="auto"/>
            <w:tcMar>
              <w:left w:w="57" w:type="dxa"/>
              <w:right w:w="57" w:type="dxa"/>
            </w:tcMar>
          </w:tcPr>
          <w:p w:rsidR="008D5009" w:rsidRPr="0087147F" w:rsidP="00426349">
            <w:pPr>
              <w:spacing w:before="0" w:after="0"/>
              <w:jc w:val="center"/>
              <w:rPr>
                <w:sz w:val="16"/>
                <w:szCs w:val="16"/>
              </w:rPr>
            </w:pPr>
            <w:r w:rsidRPr="0087147F">
              <w:rPr>
                <w:noProof/>
                <w:color w:val="000000"/>
                <w:sz w:val="16"/>
                <w:szCs w:val="16"/>
                <w:lang w:val="da-DK"/>
              </w:rPr>
              <w:t>2011</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72.80</w:t>
            </w:r>
          </w:p>
        </w:tc>
        <w:tc>
          <w:tcPr>
            <w:shd w:val="clear" w:color="auto" w:fill="auto"/>
            <w:tcMar>
              <w:left w:w="57" w:type="dxa"/>
              <w:right w:w="57" w:type="dxa"/>
            </w:tcMar>
          </w:tcPr>
          <w:p w:rsidR="008D5009" w:rsidRPr="0087147F" w:rsidP="00426349">
            <w:pPr>
              <w:spacing w:before="0" w:after="0"/>
              <w:rPr>
                <w:sz w:val="16"/>
                <w:szCs w:val="16"/>
              </w:rPr>
            </w:pPr>
            <w:r w:rsidRPr="0087147F">
              <w:rPr>
                <w:noProof/>
                <w:color w:val="000000"/>
                <w:sz w:val="16"/>
                <w:szCs w:val="16"/>
                <w:lang w:val="da-DK"/>
              </w:rPr>
              <w:t>Eurostat</w:t>
            </w:r>
          </w:p>
        </w:tc>
        <w:tc>
          <w:tcPr>
            <w:shd w:val="clear" w:color="auto" w:fill="auto"/>
            <w:tcMar>
              <w:left w:w="57" w:type="dxa"/>
              <w:right w:w="57" w:type="dxa"/>
            </w:tcMar>
          </w:tcPr>
          <w:p w:rsidR="008D5009" w:rsidRPr="0087147F" w:rsidP="00426349">
            <w:pPr>
              <w:pStyle w:val="Text2"/>
              <w:spacing w:before="0" w:after="0"/>
              <w:ind w:left="0"/>
              <w:rPr>
                <w:sz w:val="16"/>
                <w:szCs w:val="16"/>
              </w:rPr>
            </w:pPr>
            <w:r w:rsidRPr="0087147F">
              <w:rPr>
                <w:noProof/>
                <w:sz w:val="16"/>
                <w:szCs w:val="16"/>
              </w:rPr>
              <w:t>anuala</w:t>
            </w:r>
          </w:p>
        </w:tc>
      </w:tr>
    </w:tbl>
    <w:p w:rsidR="008D5009" w:rsidP="008D5009">
      <w:pPr>
        <w:spacing w:before="0" w:after="0"/>
        <w:rPr>
          <w:b/>
          <w:lang w:val="pt-PT"/>
        </w:rPr>
      </w:pPr>
    </w:p>
    <w:p w:rsidR="008D5009" w:rsidRPr="004A3AB7" w:rsidP="008D5009">
      <w:pPr>
        <w:spacing w:before="0" w:after="0"/>
        <w:rPr>
          <w:color w:val="000000"/>
        </w:rPr>
      </w:pPr>
      <w:r>
        <w:rPr>
          <w:b/>
          <w:lang w:val="pt-PT"/>
        </w:rPr>
        <w:br w:type="page"/>
      </w:r>
    </w:p>
    <w:p w:rsidR="008D5009" w:rsidRPr="00BE7245" w:rsidP="008D5009">
      <w:pPr>
        <w:pStyle w:val="ManualHeading2"/>
        <w:keepLines/>
        <w:spacing w:before="0" w:after="0"/>
        <w:rPr>
          <w:b w:val="0"/>
        </w:rPr>
      </w:pPr>
      <w:bookmarkStart w:id="111" w:name="_Toc256000080"/>
      <w:r>
        <w:rPr>
          <w:noProof/>
        </w:rPr>
        <w:t>2.A.6 Action to be supported under the investment priority</w:t>
      </w:r>
      <w:r>
        <w:rPr>
          <w:b w:val="0"/>
        </w:rPr>
        <w:t xml:space="preserve"> </w:t>
      </w:r>
      <w:r>
        <w:rPr>
          <w:b w:val="0"/>
          <w:noProof/>
        </w:rPr>
        <w:t>(by investment priority)</w:t>
      </w:r>
      <w:bookmarkEnd w:id="111"/>
    </w:p>
    <w:p w:rsidR="008D5009" w:rsidRPr="00941B50" w:rsidP="008D5009">
      <w:pPr>
        <w:pStyle w:val="Text1"/>
        <w:keepNext/>
        <w:keepLines/>
        <w:spacing w:before="0" w:after="0"/>
        <w:ind w:left="0"/>
      </w:pPr>
    </w:p>
    <w:p w:rsidR="008D5009" w:rsidRPr="0076169B" w:rsidP="008D5009">
      <w:pPr>
        <w:pStyle w:val="ManualHeading3"/>
        <w:keepLines/>
        <w:spacing w:before="0" w:after="0"/>
        <w:ind w:left="0" w:firstLine="0"/>
        <w:rPr>
          <w:b/>
        </w:rPr>
      </w:pPr>
      <w:r w:rsidRPr="0076169B">
        <w:rPr>
          <w:b/>
        </w:rPr>
        <w:t xml:space="preserve"> </w:t>
      </w:r>
      <w:bookmarkStart w:id="112" w:name="_Toc256000081"/>
      <w:r w:rsidRPr="0076169B">
        <w:rPr>
          <w:b/>
          <w:noProof/>
        </w:rPr>
        <w:t>2.A.6.1 Description of the type and examples of actions to be supported and their expected contribution to the specific objectives including, where appropriate, the identification of main target groups, specific territories targeted and types of beneficiaries</w:t>
      </w:r>
      <w:bookmarkEnd w:id="11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9"/>
        <w:gridCol w:w="1253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9347F8" w:rsidP="00426349">
            <w:pPr>
              <w:pStyle w:val="Text1"/>
              <w:spacing w:before="0" w:after="0"/>
              <w:ind w:left="0"/>
              <w:rPr>
                <w:b/>
                <w:color w:val="000000"/>
                <w:sz w:val="18"/>
                <w:szCs w:val="18"/>
              </w:rPr>
            </w:pPr>
            <w:r>
              <w:rPr>
                <w:b/>
                <w:noProof/>
                <w:sz w:val="18"/>
                <w:szCs w:val="18"/>
              </w:rPr>
              <w:t>Investment priority</w:t>
            </w:r>
          </w:p>
        </w:tc>
        <w:tc>
          <w:tcPr>
            <w:shd w:val="clear" w:color="auto" w:fill="auto"/>
          </w:tcPr>
          <w:p w:rsidR="008D5009" w:rsidRPr="009347F8" w:rsidP="00426349">
            <w:pPr>
              <w:pStyle w:val="Text1"/>
              <w:spacing w:before="0" w:after="0"/>
              <w:ind w:left="0"/>
              <w:rPr>
                <w:b/>
                <w:color w:val="000000"/>
                <w:sz w:val="18"/>
                <w:szCs w:val="18"/>
              </w:rPr>
            </w:pPr>
            <w:r w:rsidRPr="0012385C">
              <w:rPr>
                <w:noProof/>
                <w:sz w:val="18"/>
                <w:szCs w:val="18"/>
              </w:rPr>
              <w:t xml:space="preserve">3d - </w:t>
            </w:r>
            <w:r w:rsidRPr="0012385C">
              <w:rPr>
                <w:noProof/>
                <w:sz w:val="18"/>
                <w:szCs w:val="18"/>
              </w:rPr>
              <w:t>Supporting the capacity of SMEs to grow in regional, national and international markets, and to engage in innovation processes</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IMM-urile dețin o parte însemnată din forța de muncă activă a României prin contractele individuale de muncă încheiate, respectiv un număr total de 2.564.484 contracte din care 886.803 contracte încheiate de microîntreprinderi, 860.996 contracte încheiate de întreprinderi mici și 816.685 contracte încheiate de întreprinderile mijlocii, astfel încât nevoia de sprijin a acestora fie prin granturi pentru capital de lucru, fie prin granturi de investiții este o nevoie reală cu un impact major asupra echilibrelor macroeconomice ale României.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Măsurile de sprijin pentru reluarea activităților economice la nivel național influențează direct capacitatea operațională a IMM-urilor de a relua activitățile pe o piață de consum și producție grav afectată de criza coronavirusului COVID-19, iar prin neluarea acestor măsuri de sprijin IMM-urile se pot confrunta cu grave dificultăți în desfășurarea activităților curente și de investiții cu impact direct asupra veniturilor bugetului de stat, dar și asupra creșterii ratei șomajului în România.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Astfel, o parte din IMM-uri au nevoie de grant pentru capital de lucru necesar pentru plata datoriilor curente, constituirea stocurilor de materie primă, mărfuri, materiale consumabile, dar și pentru achiziționarea echipamentelor de protecție medicală necesare propriilor salariați, iar în lipsa capitalului de lucru reluarea activității curente va fi dificil de realiza.,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Totodată, o parte din IMM-uri ca urmare a crizei COVID-19 trebuie să își realoce activitatea prin crearea unor capacități de producții noi, prin desfășurarea unor activități noi sau prin implementarea unor proiecte de investiții noi, iar pentru aceasta au nevoie de granturi pentru investiții de mică valoare astfel încât să se creeze capacități de producție mici și să se poată obține produse și servicii noi adaptate la cerințele consumatorilor,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Luând în considerare că există un risc substanțial de recesiune economică în anul 2020, iar în acest context multe segmente ale economiei europene sunt blocate din cauza COVID-19 și lanțurile de aprovizionare și schimburile comerciale globale sunt profund afectate, sunt necesare măsuri de sprijin pentru deblocarea și restartarea activităților economice.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lipsa adoptării măsurilor propuse în regim de urgență, sectorul IMM, nu ar putea beneficia de condiții de finanțare adecvată pentru proiectele de relansare a activităților, de investiții sau pentru capitalul de lucru necesar derulării activității curente ale întreprinderilor grav afectate de pandemia de COVID-19.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Ținând cont de cele prezentate mai sus, propunem alocarea unui buget total  pentru </w:t>
            </w:r>
            <w:r>
              <w:rPr>
                <w:rFonts w:ascii="Times New Roman" w:eastAsia="Times New Roman" w:hAnsi="Times New Roman" w:cs="Times New Roman"/>
                <w:b/>
                <w:bCs/>
              </w:rPr>
              <w:t>Acțiunea 3.1.1. Sprijin pentru IMM-uri în vederea depășirii crizei economice generate de pandemia COVID – 19</w:t>
            </w:r>
            <w:r>
              <w:rPr>
                <w:rFonts w:ascii="Times New Roman" w:eastAsia="Times New Roman" w:hAnsi="Times New Roman" w:cs="Times New Roman"/>
              </w:rPr>
              <w:t xml:space="preserve"> din alocarea POC (FEDR) de 550.000.000 euro (15% LESS și 85% MORE pentru investiții productive iar pentru administratorul schemei  și microgranturi si granturi pentru capital de lucru se va aplica pro rata aferentă distribuției IMM-urilor), din care:</w:t>
            </w:r>
          </w:p>
          <w:p>
            <w:pPr>
              <w:numPr>
                <w:ilvl w:val="0"/>
                <w:numId w:val="12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b/>
                <w:bCs/>
              </w:rPr>
              <w:t>MICROGRANT</w:t>
            </w:r>
            <w:r>
              <w:rPr>
                <w:rFonts w:ascii="Times New Roman" w:eastAsia="Times New Roman" w:hAnsi="Times New Roman" w:cs="Times New Roman"/>
              </w:rPr>
              <w:t xml:space="preserve"> în sumă fixă pentru capital de lucru, sub formă de sumă forfetară conform OUG nr.130/2020: echivalentul în lei a sumei de 83.708.906 euro; </w:t>
            </w:r>
          </w:p>
          <w:p>
            <w:pPr>
              <w:numPr>
                <w:ilvl w:val="0"/>
                <w:numId w:val="1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 xml:space="preserve">Granturi pentru capital de lucru, </w:t>
            </w:r>
            <w:r>
              <w:rPr>
                <w:rFonts w:ascii="Times New Roman" w:eastAsia="Times New Roman" w:hAnsi="Times New Roman" w:cs="Times New Roman"/>
              </w:rPr>
              <w:t>sub formă de sumă forfetară conform OUG nr.130/2020: echivalentul în lei a sumei de  250.000.000,00 euro; </w:t>
            </w:r>
          </w:p>
          <w:p>
            <w:pPr>
              <w:numPr>
                <w:ilvl w:val="0"/>
                <w:numId w:val="12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b/>
                <w:bCs/>
              </w:rPr>
              <w:t>Granturi pentru investiții în activități productive</w:t>
            </w:r>
            <w:r>
              <w:rPr>
                <w:rFonts w:ascii="Times New Roman" w:eastAsia="Times New Roman" w:hAnsi="Times New Roman" w:cs="Times New Roman"/>
              </w:rPr>
              <w:t>: echivalentul în lei a 207.091.094 euro;</w:t>
            </w:r>
          </w:p>
          <w:p>
            <w:pPr>
              <w:numPr>
                <w:ilvl w:val="0"/>
                <w:numId w:val="12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b/>
                <w:bCs/>
              </w:rPr>
              <w:t>Platformă IT și implementare schemă de ajutor de stat</w:t>
            </w:r>
            <w:r>
              <w:rPr>
                <w:rFonts w:ascii="Times New Roman" w:eastAsia="Times New Roman" w:hAnsi="Times New Roman" w:cs="Times New Roman"/>
              </w:rPr>
              <w:t>:  9.200.000 euro.</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Astfel,  cele 3 instrumente/măsuri de finanțare, vor finanța:</w:t>
            </w:r>
          </w:p>
          <w:p>
            <w:pPr>
              <w:numPr>
                <w:ilvl w:val="0"/>
                <w:numId w:val="126"/>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Microgrant, pentru micro-întreprinderi cu asociat/administrator unic, fără contracte individuale de muncă (2.000 euro/beneficiar); </w:t>
            </w:r>
          </w:p>
          <w:p>
            <w:pPr>
              <w:numPr>
                <w:ilvl w:val="0"/>
                <w:numId w:val="126"/>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Granturi pentru capital de lucru, capital de lucru pentru reluarea activității curente pentru micro-întreprinderi și IMM-uri (15% din cifra de afaceri pentru anul 2019); </w:t>
            </w:r>
          </w:p>
          <w:p>
            <w:pPr>
              <w:numPr>
                <w:ilvl w:val="0"/>
                <w:numId w:val="126"/>
              </w:numPr>
              <w:spacing w:before="0" w:after="240"/>
              <w:ind w:left="720" w:hanging="280"/>
              <w:jc w:val="left"/>
              <w:rPr>
                <w:rFonts w:ascii="Times New Roman" w:eastAsia="Times New Roman" w:hAnsi="Times New Roman" w:cs="Times New Roman"/>
              </w:rPr>
            </w:pPr>
            <w:r>
              <w:rPr>
                <w:rFonts w:ascii="Times New Roman" w:eastAsia="Times New Roman" w:hAnsi="Times New Roman" w:cs="Times New Roman"/>
              </w:rPr>
              <w:t>Granturi pentru investiții în activități productive în cadrul IMM-urilor (valoarea maximă a grantului este cuprinsă între 50.000 și  200.000 de euro).</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Beneficiari:</w:t>
            </w:r>
          </w:p>
          <w:p>
            <w:pPr>
              <w:numPr>
                <w:ilvl w:val="0"/>
                <w:numId w:val="12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Ministerul Economiei, Energiei și Mediului de Afaceri</w:t>
            </w:r>
          </w:p>
          <w:p>
            <w:pPr>
              <w:numPr>
                <w:ilvl w:val="0"/>
                <w:numId w:val="12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Agențiile Regionale pentru Întreprinderi Mici și Mijlocii, Atragere de Investiții și Promovare a Exportului</w:t>
            </w:r>
          </w:p>
          <w:p>
            <w:pPr>
              <w:numPr>
                <w:ilvl w:val="0"/>
                <w:numId w:val="12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Serviciul de Telecomunicații Speciale – partener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Beneficiarii pot aplica singuri sau in parteneriat cu cei de mai sus.</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Beneficiarii finanțării POC vor deveni administratori sau subadministratori, după caz, ai schemei de ajutor de stat în relație cu beneficiarii finali ai ajutorului de stat.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Vor fi eligibile costurile cu personalul pentru implementarea și monitorizarea apelului de proiecte precum și costurile cu upgrade-ul platformei IT, care va gestiona depunerea și implementarea proiectelor</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Beneficiari finali ai ajutorului de stat</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Pentru microgranturi</w:t>
            </w:r>
            <w:r>
              <w:rPr>
                <w:rFonts w:ascii="Times New Roman" w:eastAsia="Times New Roman" w:hAnsi="Times New Roman" w:cs="Times New Roman"/>
              </w:rPr>
              <w:t>:</w:t>
            </w:r>
          </w:p>
          <w:p>
            <w:pPr>
              <w:numPr>
                <w:ilvl w:val="0"/>
                <w:numId w:val="12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a) întreprinderile mici și mijlocii care fac dovada prin situațiile financiare depuse că nu dețin salariați cu contract individual de muncă la data de 31 decembrie 2019;</w:t>
            </w:r>
          </w:p>
          <w:p>
            <w:pPr>
              <w:numPr>
                <w:ilvl w:val="0"/>
                <w:numId w:val="128"/>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b) PFA, ONG-uri cu activitate economică în unul din domeniile de activitate;</w:t>
            </w:r>
          </w:p>
          <w:p>
            <w:pPr>
              <w:numPr>
                <w:ilvl w:val="0"/>
                <w:numId w:val="12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c) PFA/CMI dacă au fost implicate în transportul, echiparea, evaluarea, diagnosticarea și tratamentul pacienților diagnosticați cu COVID-19, care nu au beneficiat de stimulentul medical acordat în baza Ordonanța de urgență a Guvernului nr. 43/2020 pentru aprobarea unor măsuri de sprijin decontate din fonduri europene, ca urmare a răspândirii coronavirusului COVID-19, pe perioada stării de urgență, aprobată cu modificări și completări prin Legea nr. 82/2020, cu modificările și completările ulterioare. Dovada implicării în activitățile legate de COVID-19, dar și pentru neacordarea stimulentului medical se face prin completarea unui formular anexă la cererea de finanțare emis de unitatea sanitară unde a prestat serviciul beneficiarul/ direcția de sănătate publică județeană după caz, care va fi stabilită la nivelul ghidului solicitantului, conform domeniilor de activitate incluse în </w:t>
            </w:r>
            <w:r>
              <w:rPr>
                <w:rFonts w:ascii="Times New Roman" w:eastAsia="Times New Roman" w:hAnsi="Times New Roman" w:cs="Times New Roman"/>
                <w:b/>
                <w:bCs/>
              </w:rPr>
              <w:t xml:space="preserve">Anexa </w:t>
            </w:r>
            <w:r>
              <w:rPr>
                <w:rFonts w:ascii="Times New Roman" w:eastAsia="Times New Roman" w:hAnsi="Times New Roman" w:cs="Times New Roman"/>
              </w:rPr>
              <w:t> la OUG nr.130/2020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Pentru granturi pentru capital de lucru:</w:t>
            </w:r>
          </w:p>
          <w:p>
            <w:pPr>
              <w:numPr>
                <w:ilvl w:val="0"/>
                <w:numId w:val="129"/>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IMM-urile din domeniile de activitate: restaurante, hoteluri, cafenele, industria alimentară și alte activități asimilate acesteia, servicii din domeniul transporturilor, agențiile de turism, editurilor/librăriilor/bibliotecilor, industriilor creative, precum și al organizărilor de evenimente a căror activitate curentă a fost afectată de răspândirea virusului SARS – CoV -2 sau a căror activitate a fost interzisă ori redusă prin ordonanțe militare pe perioada stării de urgență și/sau pe perioada stării de alertă, ONG-uri cu activitate economică din domeniul învățământ. Lista completă a domeniilor de activitate eligibile se regăsește în </w:t>
            </w:r>
            <w:r>
              <w:rPr>
                <w:rFonts w:ascii="Times New Roman" w:eastAsia="Times New Roman" w:hAnsi="Times New Roman" w:cs="Times New Roman"/>
                <w:b/>
                <w:bCs/>
              </w:rPr>
              <w:t xml:space="preserve">Anexa la OUG nr.130/2020. </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 xml:space="preserve">Pentru granturi pentru investiții: </w:t>
            </w:r>
          </w:p>
          <w:p>
            <w:pPr>
              <w:numPr>
                <w:ilvl w:val="0"/>
                <w:numId w:val="130"/>
              </w:numPr>
              <w:spacing w:before="240" w:after="240"/>
              <w:ind w:left="720" w:hanging="210"/>
              <w:jc w:val="left"/>
              <w:rPr>
                <w:rFonts w:ascii="Times New Roman" w:eastAsia="Times New Roman" w:hAnsi="Times New Roman" w:cs="Times New Roman"/>
              </w:rPr>
            </w:pPr>
            <w:r>
              <w:rPr>
                <w:rFonts w:ascii="Times New Roman" w:eastAsia="Times New Roman" w:hAnsi="Times New Roman" w:cs="Times New Roman"/>
              </w:rPr>
              <w:t>IMM-uri care au domeniul de activitate în</w:t>
            </w:r>
            <w:r>
              <w:rPr>
                <w:rFonts w:ascii="Times New Roman" w:eastAsia="Times New Roman" w:hAnsi="Times New Roman" w:cs="Times New Roman"/>
                <w:b/>
                <w:bCs/>
              </w:rPr>
              <w:t xml:space="preserve"> Anexa</w:t>
            </w:r>
            <w:r>
              <w:rPr>
                <w:rFonts w:ascii="Times New Roman" w:eastAsia="Times New Roman" w:hAnsi="Times New Roman" w:cs="Times New Roman"/>
              </w:rPr>
              <w:t xml:space="preserve"> </w:t>
            </w:r>
            <w:r>
              <w:rPr>
                <w:rFonts w:ascii="Times New Roman" w:eastAsia="Times New Roman" w:hAnsi="Times New Roman" w:cs="Times New Roman"/>
                <w:b/>
                <w:bCs/>
              </w:rPr>
              <w:t>la OUG nr.130/2020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Teritoriul acoperit: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Întreg teritoriul național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Eligibilitatea cheltuielilor începe cu data de 01.02.2020.</w:t>
            </w:r>
          </w:p>
          <w:p w:rsidR="008D5009" w:rsidRPr="0012385C" w:rsidP="00426349">
            <w:pPr>
              <w:pStyle w:val="Text1"/>
              <w:spacing w:before="0" w:after="0"/>
              <w:ind w:left="0"/>
              <w:rPr>
                <w:color w:val="000000"/>
                <w:sz w:val="18"/>
                <w:szCs w:val="18"/>
              </w:rPr>
            </w:pPr>
          </w:p>
        </w:tc>
      </w:tr>
    </w:tbl>
    <w:p w:rsidR="008D5009" w:rsidRPr="00C23AD8" w:rsidP="008D5009">
      <w:pPr>
        <w:spacing w:before="0" w:after="0"/>
        <w:rPr>
          <w:color w:val="000000"/>
        </w:rPr>
      </w:pPr>
    </w:p>
    <w:p w:rsidR="008D5009" w:rsidRPr="00C23AD8" w:rsidP="008D5009">
      <w:pPr>
        <w:pStyle w:val="ManualHeading3"/>
        <w:spacing w:before="0" w:after="0"/>
        <w:rPr>
          <w:b/>
          <w:color w:val="000000"/>
        </w:rPr>
      </w:pPr>
      <w:r w:rsidRPr="00C23AD8">
        <w:rPr>
          <w:b/>
          <w:color w:val="000000"/>
        </w:rPr>
        <w:t xml:space="preserve"> </w:t>
      </w:r>
      <w:bookmarkStart w:id="113" w:name="_Toc256000082"/>
      <w:r>
        <w:rPr>
          <w:b/>
          <w:noProof/>
          <w:color w:val="000000"/>
        </w:rPr>
        <w:t>2.A.6.2 Guiding principles for selection of operations</w:t>
      </w:r>
      <w:bookmarkEnd w:id="113"/>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9"/>
        <w:gridCol w:w="1253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23AD8" w:rsidP="00426349">
            <w:pPr>
              <w:pStyle w:val="Text1"/>
              <w:spacing w:before="0" w:after="0"/>
              <w:ind w:left="0"/>
              <w:rPr>
                <w:b/>
                <w:color w:val="000000"/>
                <w:sz w:val="18"/>
                <w:szCs w:val="18"/>
              </w:rPr>
            </w:pPr>
            <w:r>
              <w:rPr>
                <w:b/>
                <w:noProof/>
                <w:color w:val="000000"/>
                <w:sz w:val="18"/>
                <w:szCs w:val="18"/>
              </w:rPr>
              <w:t>Investment priority</w:t>
            </w:r>
          </w:p>
        </w:tc>
        <w:tc>
          <w:tcPr>
            <w:shd w:val="clear" w:color="auto" w:fill="auto"/>
          </w:tcPr>
          <w:p w:rsidR="008D5009" w:rsidRPr="00C23AD8" w:rsidP="00426349">
            <w:pPr>
              <w:pStyle w:val="Text1"/>
              <w:spacing w:before="0" w:after="0"/>
              <w:ind w:left="0"/>
              <w:rPr>
                <w:b/>
                <w:color w:val="000000"/>
                <w:sz w:val="18"/>
                <w:szCs w:val="18"/>
              </w:rPr>
            </w:pPr>
            <w:r w:rsidRPr="00C23AD8">
              <w:rPr>
                <w:noProof/>
                <w:color w:val="000000"/>
                <w:sz w:val="18"/>
                <w:szCs w:val="18"/>
              </w:rPr>
              <w:t xml:space="preserve">3d - </w:t>
            </w:r>
            <w:r w:rsidRPr="00C23AD8">
              <w:rPr>
                <w:noProof/>
                <w:color w:val="000000"/>
                <w:sz w:val="18"/>
                <w:szCs w:val="18"/>
              </w:rPr>
              <w:t>Supporting the capacity of SMEs to grow in regional, national and international markets, and to engage in innovation processes</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Pentru măsurile (1) și (2) selecția operațiunilor se va face pe principiul „primul venit, primul servit”, în timp ce pentru măsura (3) se va avea în vedere selecția la finanțare în ordinea descrescătoare a punctajelor în limita bugetului aprobat prin ghidul beneficiarului.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Autoritatea de management se va asigura că sprijinul public (FEDR și fonduri publice naționale) acordat în cadrul acestui program respectă normele de procedură în materia ajutorului de stat aplicabile la momentul de timp când se acordă sprijinul public.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9D030B" w:rsidP="008D5009">
      <w:pPr>
        <w:pStyle w:val="ManualHeading3"/>
        <w:spacing w:before="0" w:after="0"/>
        <w:rPr>
          <w:i w:val="0"/>
        </w:rPr>
      </w:pPr>
      <w:bookmarkStart w:id="114" w:name="_Toc256000083"/>
      <w:r>
        <w:rPr>
          <w:b/>
          <w:noProof/>
        </w:rPr>
        <w:t>2.A.6.3 Planned use of financial instruments</w:t>
      </w:r>
      <w:r>
        <w:rPr>
          <w:b/>
        </w:rPr>
        <w:t xml:space="preserve"> </w:t>
      </w:r>
      <w:r>
        <w:rPr>
          <w:i w:val="0"/>
          <w:noProof/>
        </w:rPr>
        <w:t>(where appropriate)</w:t>
      </w:r>
      <w:bookmarkEnd w:id="11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9"/>
        <w:gridCol w:w="1253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E927A9" w:rsidP="00426349">
            <w:pPr>
              <w:pStyle w:val="Text1"/>
              <w:spacing w:before="0" w:after="0"/>
              <w:ind w:left="0"/>
              <w:rPr>
                <w:b/>
                <w:color w:val="000000"/>
                <w:sz w:val="18"/>
                <w:szCs w:val="18"/>
              </w:rPr>
            </w:pPr>
            <w:r>
              <w:rPr>
                <w:b/>
                <w:noProof/>
                <w:sz w:val="18"/>
                <w:szCs w:val="18"/>
              </w:rPr>
              <w:t>Investment priority</w:t>
            </w:r>
          </w:p>
        </w:tc>
        <w:tc>
          <w:tcPr>
            <w:shd w:val="clear" w:color="auto" w:fill="auto"/>
          </w:tcPr>
          <w:p w:rsidR="008D5009" w:rsidRPr="00E927A9" w:rsidP="00426349">
            <w:pPr>
              <w:pStyle w:val="Text1"/>
              <w:spacing w:before="0" w:after="0"/>
              <w:ind w:left="0"/>
              <w:rPr>
                <w:b/>
                <w:color w:val="000000"/>
                <w:sz w:val="18"/>
                <w:szCs w:val="18"/>
              </w:rPr>
            </w:pPr>
            <w:r w:rsidRPr="00420C06">
              <w:rPr>
                <w:noProof/>
                <w:sz w:val="18"/>
                <w:szCs w:val="18"/>
              </w:rPr>
              <w:t xml:space="preserve">3d - </w:t>
            </w:r>
            <w:r w:rsidRPr="00420C06">
              <w:rPr>
                <w:noProof/>
                <w:sz w:val="18"/>
                <w:szCs w:val="18"/>
              </w:rPr>
              <w:t>Supporting the capacity of SMEs to grow in regional, national and international markets, and to engage in innovation processes</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w:t>
            </w:r>
          </w:p>
          <w:p w:rsidR="008D5009" w:rsidRPr="00E927A9" w:rsidP="00426349">
            <w:pPr>
              <w:pStyle w:val="Text1"/>
              <w:spacing w:before="0" w:after="0"/>
              <w:ind w:left="0"/>
              <w:rPr>
                <w:sz w:val="20"/>
                <w:szCs w:val="20"/>
                <w:lang w:val="fr-BE"/>
              </w:rPr>
            </w:pPr>
          </w:p>
        </w:tc>
      </w:tr>
    </w:tbl>
    <w:p w:rsidR="008D5009" w:rsidRPr="00E927A9" w:rsidP="008D5009">
      <w:pPr>
        <w:spacing w:before="0" w:after="0"/>
        <w:rPr>
          <w:lang w:val="fr-BE"/>
        </w:rPr>
      </w:pPr>
    </w:p>
    <w:p w:rsidR="008D5009" w:rsidP="008D5009">
      <w:pPr>
        <w:pStyle w:val="ManualHeading3"/>
        <w:spacing w:before="0" w:after="0"/>
        <w:rPr>
          <w:i w:val="0"/>
          <w:lang w:val="fr-BE"/>
        </w:rPr>
      </w:pPr>
      <w:bookmarkStart w:id="115" w:name="_Toc256000084"/>
      <w:r w:rsidRPr="00164AE6">
        <w:rPr>
          <w:b/>
          <w:noProof/>
          <w:lang w:val="fr-BE"/>
        </w:rPr>
        <w:t>2.A.6.4 Planned use of major projects</w:t>
      </w:r>
      <w:r w:rsidRPr="00164AE6">
        <w:rPr>
          <w:i w:val="0"/>
          <w:lang w:val="fr-BE"/>
        </w:rPr>
        <w:t xml:space="preserve"> </w:t>
      </w:r>
      <w:r w:rsidRPr="00164AE6">
        <w:rPr>
          <w:i w:val="0"/>
          <w:noProof/>
          <w:lang w:val="fr-BE"/>
        </w:rPr>
        <w:t>(where appropriate)</w:t>
      </w:r>
      <w:bookmarkEnd w:id="115"/>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9"/>
        <w:gridCol w:w="1253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2B60AE" w:rsidP="00426349">
            <w:pPr>
              <w:pStyle w:val="Text1"/>
              <w:spacing w:before="0" w:after="0"/>
              <w:ind w:left="0"/>
              <w:rPr>
                <w:b/>
                <w:sz w:val="18"/>
                <w:szCs w:val="18"/>
              </w:rPr>
            </w:pPr>
            <w:r>
              <w:rPr>
                <w:b/>
                <w:noProof/>
                <w:sz w:val="18"/>
                <w:szCs w:val="18"/>
              </w:rPr>
              <w:t>Investment priority</w:t>
            </w:r>
          </w:p>
        </w:tc>
        <w:tc>
          <w:tcPr>
            <w:shd w:val="clear" w:color="auto" w:fill="auto"/>
          </w:tcPr>
          <w:p w:rsidR="008D5009" w:rsidRPr="002B60AE" w:rsidP="00426349">
            <w:pPr>
              <w:pStyle w:val="Text1"/>
              <w:spacing w:before="0" w:after="0"/>
              <w:ind w:left="0"/>
              <w:rPr>
                <w:b/>
                <w:sz w:val="18"/>
                <w:szCs w:val="18"/>
              </w:rPr>
            </w:pPr>
            <w:r w:rsidRPr="00420C06">
              <w:rPr>
                <w:noProof/>
                <w:sz w:val="18"/>
                <w:szCs w:val="18"/>
              </w:rPr>
              <w:t xml:space="preserve">3d - </w:t>
            </w:r>
            <w:r w:rsidRPr="00420C06">
              <w:rPr>
                <w:noProof/>
                <w:sz w:val="18"/>
                <w:szCs w:val="18"/>
              </w:rPr>
              <w:t>Supporting the capacity of SMEs to grow in regional, national and international markets, and to engage in innovation processes</w:t>
            </w:r>
          </w:p>
        </w:tc>
      </w:tr>
      <w:tr w:rsidTr="004375CA">
        <w:tblPrEx>
          <w:tblW w:w="5000" w:type="pct"/>
          <w:tblLook w:val="04A0"/>
        </w:tblPrEx>
        <w:trPr>
          <w:trHeight w:val="170"/>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w:t>
            </w:r>
          </w:p>
          <w:p w:rsidR="008D5009" w:rsidRPr="005F325A" w:rsidP="00426349">
            <w:pPr>
              <w:pStyle w:val="Text1"/>
              <w:spacing w:before="0" w:after="0"/>
              <w:ind w:left="0"/>
              <w:rPr>
                <w:color w:val="000000"/>
                <w:sz w:val="18"/>
                <w:szCs w:val="18"/>
              </w:rPr>
            </w:pPr>
          </w:p>
        </w:tc>
      </w:tr>
    </w:tbl>
    <w:p w:rsidR="008D5009" w:rsidRPr="00DC028E" w:rsidP="008D5009">
      <w:pPr>
        <w:spacing w:before="0" w:after="0"/>
      </w:pPr>
    </w:p>
    <w:p w:rsidR="008D5009" w:rsidRPr="00544411" w:rsidP="008D5009">
      <w:pPr>
        <w:pStyle w:val="ManualHeading3"/>
        <w:keepLines/>
        <w:spacing w:before="0" w:after="0"/>
        <w:rPr>
          <w:b/>
          <w:color w:val="000000"/>
        </w:rPr>
      </w:pPr>
      <w:bookmarkStart w:id="116" w:name="_Toc256000085"/>
      <w:r>
        <w:rPr>
          <w:b/>
          <w:noProof/>
          <w:color w:val="000000"/>
        </w:rPr>
        <w:t>2.A.6.5 Output indicators by investment priority and, where appropriate by category of region</w:t>
      </w:r>
      <w:bookmarkEnd w:id="116"/>
    </w:p>
    <w:p w:rsidR="008D5009" w:rsidRPr="0015384C" w:rsidP="008D5009">
      <w:pPr>
        <w:pStyle w:val="Text1"/>
        <w:keepNext/>
        <w:keepLines/>
        <w:spacing w:before="0" w:after="0"/>
        <w:ind w:left="0"/>
      </w:pPr>
    </w:p>
    <w:p w:rsidR="008D5009" w:rsidRPr="00082572" w:rsidP="008D5009">
      <w:pPr>
        <w:keepNext/>
        <w:keepLines/>
        <w:spacing w:before="0" w:after="0"/>
        <w:rPr>
          <w:color w:val="000000"/>
        </w:rPr>
      </w:pPr>
      <w:r w:rsidRPr="003B65A5">
        <w:rPr>
          <w:b/>
          <w:noProof/>
          <w:color w:val="000000"/>
        </w:rPr>
        <w:t>Table 5: Common and programme-specific output indicators</w:t>
      </w:r>
      <w:r>
        <w:rPr>
          <w:color w:val="000000"/>
        </w:rPr>
        <w:t xml:space="preserve"> </w:t>
      </w:r>
      <w:r>
        <w:rPr>
          <w:noProof/>
          <w:color w:val="000000"/>
        </w:rPr>
        <w:t>(by investment priority, broken down by category of region for the ESF, and where relevant, for the ERDF)</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4320"/>
        <w:gridCol w:w="1486"/>
        <w:gridCol w:w="645"/>
        <w:gridCol w:w="2665"/>
        <w:gridCol w:w="387"/>
        <w:gridCol w:w="396"/>
        <w:gridCol w:w="1236"/>
        <w:gridCol w:w="1211"/>
        <w:gridCol w:w="181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2"/>
            <w:shd w:val="clear" w:color="auto" w:fill="auto"/>
          </w:tcPr>
          <w:p w:rsidR="008D5009" w:rsidRPr="00A15E2F" w:rsidP="00426349">
            <w:pPr>
              <w:pStyle w:val="Heading3"/>
              <w:numPr>
                <w:ilvl w:val="0"/>
                <w:numId w:val="0"/>
              </w:numPr>
              <w:spacing w:before="0" w:after="0"/>
              <w:rPr>
                <w:b/>
                <w:i w:val="0"/>
                <w:color w:val="000000"/>
                <w:sz w:val="16"/>
                <w:szCs w:val="16"/>
              </w:rPr>
            </w:pPr>
            <w:bookmarkStart w:id="117" w:name="_Toc256000086"/>
            <w:r>
              <w:rPr>
                <w:b/>
                <w:i w:val="0"/>
                <w:noProof/>
                <w:color w:val="000000"/>
                <w:sz w:val="16"/>
                <w:szCs w:val="16"/>
              </w:rPr>
              <w:t>Investment priority</w:t>
            </w:r>
            <w:bookmarkEnd w:id="117"/>
          </w:p>
        </w:tc>
        <w:tc>
          <w:tcPr>
            <w:gridSpan w:val="8"/>
            <w:shd w:val="clear" w:color="auto" w:fill="auto"/>
          </w:tcPr>
          <w:p w:rsidR="008D5009" w:rsidRPr="005D6B15" w:rsidP="00426349">
            <w:pPr>
              <w:pStyle w:val="Heading3"/>
              <w:numPr>
                <w:ilvl w:val="0"/>
                <w:numId w:val="0"/>
              </w:numPr>
              <w:spacing w:before="0" w:after="0"/>
              <w:rPr>
                <w:b/>
                <w:i w:val="0"/>
                <w:color w:val="000000"/>
                <w:sz w:val="16"/>
                <w:szCs w:val="16"/>
              </w:rPr>
            </w:pPr>
            <w:bookmarkStart w:id="118" w:name="_Toc256000087"/>
            <w:r w:rsidRPr="005D6B15">
              <w:rPr>
                <w:b/>
                <w:i w:val="0"/>
                <w:noProof/>
                <w:color w:val="000000"/>
                <w:sz w:val="16"/>
                <w:szCs w:val="16"/>
              </w:rPr>
              <w:t xml:space="preserve">3d - </w:t>
            </w:r>
            <w:r w:rsidRPr="005D6B15">
              <w:rPr>
                <w:b/>
                <w:i w:val="0"/>
                <w:noProof/>
                <w:color w:val="000000"/>
                <w:sz w:val="16"/>
                <w:szCs w:val="16"/>
              </w:rPr>
              <w:t>Supporting the capacity of SMEs to grow in regional, national and international markets, and to engage in innovation processes</w:t>
            </w:r>
            <w:bookmarkEnd w:id="118"/>
          </w:p>
        </w:tc>
      </w:tr>
      <w:tr w:rsidTr="00426349">
        <w:tblPrEx>
          <w:tblW w:w="5000" w:type="pct"/>
          <w:tblLook w:val="04A0"/>
        </w:tblPrEx>
        <w:trPr>
          <w:cantSplit/>
          <w:trHeight w:val="288"/>
          <w:tblHeader/>
        </w:trPr>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ID</w:t>
            </w:r>
          </w:p>
        </w:tc>
        <w:tc>
          <w:tcPr>
            <w:vMerge w:val="restart"/>
            <w:shd w:val="clear" w:color="auto" w:fill="auto"/>
          </w:tcPr>
          <w:p w:rsidR="008D5009" w:rsidRPr="00870D13" w:rsidP="00426349">
            <w:pPr>
              <w:spacing w:before="0" w:after="0"/>
              <w:jc w:val="center"/>
              <w:rPr>
                <w:b/>
                <w:color w:val="000000"/>
                <w:sz w:val="16"/>
                <w:szCs w:val="16"/>
                <w:lang w:val="da-DK"/>
              </w:rPr>
            </w:pPr>
            <w:r w:rsidRPr="00870D13">
              <w:rPr>
                <w:b/>
                <w:noProof/>
                <w:color w:val="000000"/>
                <w:sz w:val="16"/>
                <w:szCs w:val="16"/>
                <w:lang w:val="da-DK"/>
              </w:rPr>
              <w:t>Indicator</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Measurement unit</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Fund</w:t>
            </w:r>
          </w:p>
        </w:tc>
        <w:tc>
          <w:tcPr>
            <w:vMerge w:val="restart"/>
            <w:shd w:val="clear" w:color="auto" w:fill="auto"/>
          </w:tcPr>
          <w:p w:rsidR="008D5009" w:rsidRPr="00870D13" w:rsidP="00426349">
            <w:pPr>
              <w:spacing w:before="0" w:after="0"/>
              <w:jc w:val="center"/>
              <w:rPr>
                <w:b/>
                <w:color w:val="000000"/>
                <w:sz w:val="16"/>
                <w:szCs w:val="16"/>
              </w:rPr>
            </w:pPr>
            <w:r>
              <w:rPr>
                <w:b/>
                <w:noProof/>
                <w:color w:val="000000"/>
                <w:sz w:val="16"/>
                <w:szCs w:val="16"/>
              </w:rPr>
              <w:t>Category of region (where relevant)</w:t>
            </w:r>
          </w:p>
        </w:tc>
        <w:tc>
          <w:tcPr>
            <w:gridSpan w:val="3"/>
            <w:shd w:val="clear" w:color="auto" w:fill="auto"/>
          </w:tcPr>
          <w:p w:rsidR="008D5009" w:rsidRPr="00870D13" w:rsidP="00426349">
            <w:pPr>
              <w:spacing w:before="0" w:after="0"/>
              <w:jc w:val="center"/>
              <w:rPr>
                <w:b/>
                <w:color w:val="000000"/>
                <w:sz w:val="16"/>
                <w:szCs w:val="16"/>
              </w:rPr>
            </w:pPr>
            <w:r>
              <w:rPr>
                <w:b/>
                <w:noProof/>
                <w:color w:val="000000"/>
                <w:sz w:val="16"/>
                <w:szCs w:val="16"/>
              </w:rPr>
              <w:t>Target value (2023)</w:t>
            </w:r>
          </w:p>
        </w:tc>
        <w:tc>
          <w:tcPr>
            <w:vMerge w:val="restart"/>
            <w:shd w:val="clear" w:color="auto" w:fill="auto"/>
          </w:tcPr>
          <w:p w:rsidR="008D5009" w:rsidRPr="00870D13" w:rsidP="00426349">
            <w:pPr>
              <w:spacing w:before="0" w:after="0"/>
              <w:jc w:val="center"/>
              <w:rPr>
                <w:b/>
                <w:color w:val="000000"/>
                <w:sz w:val="16"/>
                <w:szCs w:val="16"/>
                <w:lang w:val="pt-PT"/>
              </w:rPr>
            </w:pPr>
            <w:r w:rsidRPr="00870D13">
              <w:rPr>
                <w:b/>
                <w:noProof/>
                <w:color w:val="000000"/>
                <w:sz w:val="16"/>
                <w:szCs w:val="16"/>
                <w:lang w:val="pt-PT"/>
              </w:rPr>
              <w:t>Source of data</w:t>
            </w:r>
          </w:p>
        </w:tc>
        <w:tc>
          <w:tcPr>
            <w:vMerge w:val="restart"/>
            <w:shd w:val="clear" w:color="auto" w:fill="auto"/>
          </w:tcPr>
          <w:p w:rsidR="008D5009" w:rsidRPr="00870D13" w:rsidP="00426349">
            <w:pPr>
              <w:spacing w:before="0" w:after="0"/>
              <w:jc w:val="center"/>
              <w:rPr>
                <w:b/>
                <w:color w:val="000000"/>
                <w:sz w:val="16"/>
                <w:szCs w:val="16"/>
              </w:rPr>
            </w:pPr>
            <w:r w:rsidRPr="00870D13">
              <w:rPr>
                <w:b/>
                <w:noProof/>
                <w:color w:val="000000"/>
                <w:sz w:val="16"/>
                <w:szCs w:val="16"/>
              </w:rPr>
              <w:t>Frequency of reporting</w:t>
            </w:r>
          </w:p>
        </w:tc>
      </w:tr>
      <w:tr w:rsidTr="00426349">
        <w:tblPrEx>
          <w:tblW w:w="5000" w:type="pct"/>
          <w:tblLook w:val="04A0"/>
        </w:tblPrEx>
        <w:trPr>
          <w:cantSplit/>
          <w:trHeight w:val="288"/>
          <w:tblHeader/>
        </w:trPr>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M</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W</w:t>
            </w:r>
          </w:p>
        </w:tc>
        <w:tc>
          <w:tcPr>
            <w:shd w:val="clear" w:color="auto" w:fill="auto"/>
          </w:tcPr>
          <w:p w:rsidR="008D5009" w:rsidRPr="00870D13" w:rsidP="00426349">
            <w:pPr>
              <w:spacing w:before="0" w:after="0"/>
              <w:jc w:val="center"/>
              <w:rPr>
                <w:b/>
                <w:color w:val="000000"/>
                <w:sz w:val="16"/>
                <w:szCs w:val="16"/>
              </w:rPr>
            </w:pPr>
            <w:r>
              <w:rPr>
                <w:b/>
                <w:noProof/>
                <w:color w:val="000000"/>
                <w:sz w:val="16"/>
                <w:szCs w:val="16"/>
              </w:rPr>
              <w:t>T</w:t>
            </w:r>
          </w:p>
        </w:tc>
        <w:tc>
          <w:tcPr>
            <w:vMerge/>
            <w:shd w:val="clear" w:color="auto" w:fill="auto"/>
          </w:tcPr>
          <w:p w:rsidR="008D5009" w:rsidRPr="00870D13" w:rsidP="00426349">
            <w:pPr>
              <w:spacing w:before="0" w:after="0"/>
              <w:jc w:val="center"/>
              <w:rPr>
                <w:b/>
                <w:color w:val="000000"/>
                <w:sz w:val="16"/>
                <w:szCs w:val="16"/>
              </w:rPr>
            </w:pPr>
          </w:p>
        </w:tc>
        <w:tc>
          <w:tcPr>
            <w:vMerge/>
            <w:shd w:val="clear" w:color="auto" w:fill="auto"/>
          </w:tcPr>
          <w:p w:rsidR="008D5009" w:rsidRPr="00870D13" w:rsidP="00426349">
            <w:pPr>
              <w:spacing w:before="0" w:after="0"/>
              <w:jc w:val="center"/>
              <w:rPr>
                <w:b/>
                <w:color w:val="000000"/>
                <w:sz w:val="16"/>
                <w:szCs w:val="16"/>
              </w:rPr>
            </w:pP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CV20</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Grant support to SMEs for working capital (grants)</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EUR</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298,654,003.03</w:t>
            </w:r>
          </w:p>
        </w:tc>
        <w:tc>
          <w:tcPr>
            <w:shd w:val="clear" w:color="auto" w:fill="auto"/>
          </w:tcPr>
          <w:p w:rsidR="008D5009" w:rsidRPr="00870D13" w:rsidP="00426349">
            <w:pPr>
              <w:spacing w:before="0" w:after="0"/>
              <w:rPr>
                <w:color w:val="000000"/>
                <w:sz w:val="16"/>
                <w:szCs w:val="16"/>
              </w:rPr>
            </w:pPr>
            <w:r w:rsidRPr="00870D13">
              <w:rPr>
                <w:noProof/>
                <w:sz w:val="16"/>
                <w:szCs w:val="16"/>
              </w:rPr>
              <w:t>MEEMA</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CV22</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Number of SMEs with grants for working capital</w:t>
            </w:r>
          </w:p>
        </w:tc>
        <w:tc>
          <w:tcPr>
            <w:shd w:val="clear" w:color="auto" w:fill="auto"/>
          </w:tcPr>
          <w:p w:rsidR="008D5009" w:rsidRPr="00870D13" w:rsidP="00426349">
            <w:pPr>
              <w:spacing w:before="0" w:after="0"/>
              <w:rPr>
                <w:color w:val="000000"/>
                <w:sz w:val="16"/>
                <w:szCs w:val="16"/>
              </w:rPr>
            </w:pPr>
            <w:r w:rsidRPr="00870D13">
              <w:rPr>
                <w:noProof/>
                <w:color w:val="000000"/>
                <w:sz w:val="16"/>
                <w:szCs w:val="16"/>
              </w:rPr>
              <w:t>Enterprises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5,923.00</w:t>
            </w:r>
          </w:p>
        </w:tc>
        <w:tc>
          <w:tcPr>
            <w:shd w:val="clear" w:color="auto" w:fill="auto"/>
          </w:tcPr>
          <w:p w:rsidR="008D5009" w:rsidRPr="00870D13" w:rsidP="00426349">
            <w:pPr>
              <w:spacing w:before="0" w:after="0"/>
              <w:rPr>
                <w:color w:val="000000"/>
                <w:sz w:val="16"/>
                <w:szCs w:val="16"/>
              </w:rPr>
            </w:pPr>
            <w:r w:rsidRPr="00870D13">
              <w:rPr>
                <w:noProof/>
                <w:sz w:val="16"/>
                <w:szCs w:val="16"/>
              </w:rPr>
              <w:t>MEEMA</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CO01</w:t>
            </w:r>
          </w:p>
        </w:tc>
        <w:tc>
          <w:tcPr>
            <w:shd w:val="clear" w:color="auto" w:fill="auto"/>
          </w:tcPr>
          <w:p w:rsidR="008D5009" w:rsidRPr="00870D13" w:rsidP="00426349">
            <w:pPr>
              <w:spacing w:before="0" w:after="0"/>
              <w:rPr>
                <w:color w:val="000000"/>
                <w:sz w:val="16"/>
                <w:szCs w:val="16"/>
              </w:rPr>
            </w:pPr>
            <w:r>
              <w:rPr>
                <w:noProof/>
                <w:color w:val="000000"/>
                <w:sz w:val="16"/>
                <w:szCs w:val="16"/>
              </w:rPr>
              <w:t>Productive investment: Number of enterprises receiving support</w:t>
            </w:r>
          </w:p>
        </w:tc>
        <w:tc>
          <w:tcPr>
            <w:shd w:val="clear" w:color="auto" w:fill="auto"/>
          </w:tcPr>
          <w:p w:rsidR="008D5009" w:rsidRPr="00870D13" w:rsidP="00426349">
            <w:pPr>
              <w:spacing w:before="0" w:after="0"/>
              <w:rPr>
                <w:color w:val="000000"/>
                <w:sz w:val="16"/>
                <w:szCs w:val="16"/>
              </w:rPr>
            </w:pPr>
            <w:r>
              <w:rPr>
                <w:noProof/>
                <w:color w:val="000000"/>
                <w:sz w:val="16"/>
                <w:szCs w:val="16"/>
              </w:rPr>
              <w:t>Enterprises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43,740.00</w:t>
            </w:r>
          </w:p>
        </w:tc>
        <w:tc>
          <w:tcPr>
            <w:shd w:val="clear" w:color="auto" w:fill="auto"/>
          </w:tcPr>
          <w:p w:rsidR="008D5009" w:rsidRPr="00870D13" w:rsidP="00426349">
            <w:pPr>
              <w:spacing w:before="0" w:after="0"/>
              <w:rPr>
                <w:color w:val="000000"/>
                <w:sz w:val="16"/>
                <w:szCs w:val="16"/>
              </w:rPr>
            </w:pPr>
            <w:r w:rsidRPr="00870D13">
              <w:rPr>
                <w:noProof/>
                <w:sz w:val="16"/>
                <w:szCs w:val="16"/>
              </w:rPr>
              <w:t>MEEMA</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CO02</w:t>
            </w:r>
          </w:p>
        </w:tc>
        <w:tc>
          <w:tcPr>
            <w:shd w:val="clear" w:color="auto" w:fill="auto"/>
          </w:tcPr>
          <w:p w:rsidR="008D5009" w:rsidRPr="00870D13" w:rsidP="00426349">
            <w:pPr>
              <w:spacing w:before="0" w:after="0"/>
              <w:rPr>
                <w:color w:val="000000"/>
                <w:sz w:val="16"/>
                <w:szCs w:val="16"/>
              </w:rPr>
            </w:pPr>
            <w:r>
              <w:rPr>
                <w:noProof/>
                <w:color w:val="000000"/>
                <w:sz w:val="16"/>
                <w:szCs w:val="16"/>
              </w:rPr>
              <w:t>Productive investment: Number of enterprises receiving grants</w:t>
            </w:r>
          </w:p>
        </w:tc>
        <w:tc>
          <w:tcPr>
            <w:shd w:val="clear" w:color="auto" w:fill="auto"/>
          </w:tcPr>
          <w:p w:rsidR="008D5009" w:rsidRPr="00870D13" w:rsidP="00426349">
            <w:pPr>
              <w:spacing w:before="0" w:after="0"/>
              <w:rPr>
                <w:color w:val="000000"/>
                <w:sz w:val="16"/>
                <w:szCs w:val="16"/>
              </w:rPr>
            </w:pPr>
            <w:r>
              <w:rPr>
                <w:noProof/>
                <w:color w:val="000000"/>
                <w:sz w:val="16"/>
                <w:szCs w:val="16"/>
              </w:rPr>
              <w:t>Enterprises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Less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39,277.00</w:t>
            </w:r>
          </w:p>
        </w:tc>
        <w:tc>
          <w:tcPr>
            <w:shd w:val="clear" w:color="auto" w:fill="auto"/>
          </w:tcPr>
          <w:p w:rsidR="008D5009" w:rsidRPr="00870D13" w:rsidP="00426349">
            <w:pPr>
              <w:spacing w:before="0" w:after="0"/>
              <w:rPr>
                <w:color w:val="000000"/>
                <w:sz w:val="16"/>
                <w:szCs w:val="16"/>
              </w:rPr>
            </w:pPr>
            <w:r w:rsidRPr="00870D13">
              <w:rPr>
                <w:noProof/>
                <w:sz w:val="16"/>
                <w:szCs w:val="16"/>
              </w:rPr>
              <w:t>MEEMA</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CO01</w:t>
            </w:r>
          </w:p>
        </w:tc>
        <w:tc>
          <w:tcPr>
            <w:shd w:val="clear" w:color="auto" w:fill="auto"/>
          </w:tcPr>
          <w:p w:rsidR="008D5009" w:rsidRPr="00870D13" w:rsidP="00426349">
            <w:pPr>
              <w:spacing w:before="0" w:after="0"/>
              <w:rPr>
                <w:color w:val="000000"/>
                <w:sz w:val="16"/>
                <w:szCs w:val="16"/>
              </w:rPr>
            </w:pPr>
            <w:r>
              <w:rPr>
                <w:noProof/>
                <w:color w:val="000000"/>
                <w:sz w:val="16"/>
                <w:szCs w:val="16"/>
              </w:rPr>
              <w:t>Productive investment: Number of enterprises receiving support</w:t>
            </w:r>
          </w:p>
        </w:tc>
        <w:tc>
          <w:tcPr>
            <w:shd w:val="clear" w:color="auto" w:fill="auto"/>
          </w:tcPr>
          <w:p w:rsidR="008D5009" w:rsidRPr="00870D13" w:rsidP="00426349">
            <w:pPr>
              <w:spacing w:before="0" w:after="0"/>
              <w:rPr>
                <w:color w:val="000000"/>
                <w:sz w:val="16"/>
                <w:szCs w:val="16"/>
              </w:rPr>
            </w:pPr>
            <w:r>
              <w:rPr>
                <w:noProof/>
                <w:color w:val="000000"/>
                <w:sz w:val="16"/>
                <w:szCs w:val="16"/>
              </w:rPr>
              <w:t>Enterprises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14,274.00</w:t>
            </w:r>
          </w:p>
        </w:tc>
        <w:tc>
          <w:tcPr>
            <w:shd w:val="clear" w:color="auto" w:fill="auto"/>
          </w:tcPr>
          <w:p w:rsidR="008D5009" w:rsidRPr="00870D13" w:rsidP="00426349">
            <w:pPr>
              <w:spacing w:before="0" w:after="0"/>
              <w:rPr>
                <w:color w:val="000000"/>
                <w:sz w:val="16"/>
                <w:szCs w:val="16"/>
              </w:rPr>
            </w:pPr>
            <w:r w:rsidRPr="00870D13">
              <w:rPr>
                <w:noProof/>
                <w:sz w:val="16"/>
                <w:szCs w:val="16"/>
              </w:rPr>
              <w:t>MEEMA</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r w:rsidTr="00426349">
        <w:tblPrEx>
          <w:tblW w:w="5000" w:type="pct"/>
          <w:tblLook w:val="04A0"/>
        </w:tblPrEx>
        <w:trPr>
          <w:trHeight w:val="288"/>
        </w:trPr>
        <w:tc>
          <w:tcPr>
            <w:shd w:val="clear" w:color="auto" w:fill="auto"/>
          </w:tcPr>
          <w:p w:rsidR="008D5009" w:rsidRPr="00013586" w:rsidP="00426349">
            <w:pPr>
              <w:spacing w:before="0" w:after="0"/>
              <w:rPr>
                <w:color w:val="000000"/>
                <w:sz w:val="16"/>
                <w:szCs w:val="16"/>
              </w:rPr>
            </w:pPr>
            <w:r w:rsidRPr="00013586">
              <w:rPr>
                <w:noProof/>
                <w:color w:val="000000"/>
                <w:sz w:val="16"/>
                <w:szCs w:val="16"/>
              </w:rPr>
              <w:t>CO02</w:t>
            </w:r>
          </w:p>
        </w:tc>
        <w:tc>
          <w:tcPr>
            <w:shd w:val="clear" w:color="auto" w:fill="auto"/>
          </w:tcPr>
          <w:p w:rsidR="008D5009" w:rsidRPr="00870D13" w:rsidP="00426349">
            <w:pPr>
              <w:spacing w:before="0" w:after="0"/>
              <w:rPr>
                <w:color w:val="000000"/>
                <w:sz w:val="16"/>
                <w:szCs w:val="16"/>
              </w:rPr>
            </w:pPr>
            <w:r>
              <w:rPr>
                <w:noProof/>
                <w:color w:val="000000"/>
                <w:sz w:val="16"/>
                <w:szCs w:val="16"/>
              </w:rPr>
              <w:t>Productive investment: Number of enterprises receiving grants</w:t>
            </w:r>
          </w:p>
        </w:tc>
        <w:tc>
          <w:tcPr>
            <w:shd w:val="clear" w:color="auto" w:fill="auto"/>
          </w:tcPr>
          <w:p w:rsidR="008D5009" w:rsidRPr="00870D13" w:rsidP="00426349">
            <w:pPr>
              <w:spacing w:before="0" w:after="0"/>
              <w:rPr>
                <w:color w:val="000000"/>
                <w:sz w:val="16"/>
                <w:szCs w:val="16"/>
              </w:rPr>
            </w:pPr>
            <w:r>
              <w:rPr>
                <w:noProof/>
                <w:color w:val="000000"/>
                <w:sz w:val="16"/>
                <w:szCs w:val="16"/>
              </w:rPr>
              <w:t>Enterprises</w:t>
            </w:r>
          </w:p>
        </w:tc>
        <w:tc>
          <w:tcPr>
            <w:shd w:val="clear" w:color="auto" w:fill="auto"/>
          </w:tcPr>
          <w:p w:rsidR="008D5009" w:rsidRPr="00DD3F83" w:rsidP="00426349">
            <w:pPr>
              <w:pStyle w:val="Text1"/>
              <w:spacing w:before="0" w:after="0"/>
              <w:ind w:left="0"/>
              <w:rPr>
                <w:color w:val="000000"/>
                <w:sz w:val="16"/>
                <w:szCs w:val="16"/>
                <w:highlight w:val="yellow"/>
              </w:rPr>
            </w:pPr>
            <w:r>
              <w:rPr>
                <w:noProof/>
                <w:color w:val="000000"/>
                <w:sz w:val="16"/>
                <w:szCs w:val="16"/>
              </w:rPr>
              <w:t>ERDF</w:t>
            </w:r>
          </w:p>
        </w:tc>
        <w:tc>
          <w:tcPr>
            <w:shd w:val="clear" w:color="auto" w:fill="auto"/>
          </w:tcPr>
          <w:p w:rsidR="008D5009" w:rsidRPr="00870D13" w:rsidP="00426349">
            <w:pPr>
              <w:spacing w:before="0" w:after="0"/>
              <w:rPr>
                <w:color w:val="000000"/>
                <w:sz w:val="16"/>
                <w:szCs w:val="16"/>
              </w:rPr>
            </w:pPr>
            <w:r>
              <w:rPr>
                <w:noProof/>
                <w:color w:val="000000"/>
                <w:sz w:val="16"/>
                <w:szCs w:val="16"/>
              </w:rPr>
              <w:t>More developed</w:t>
            </w:r>
            <w:r w:rsidRPr="00870D13">
              <w:rPr>
                <w:color w:val="000000"/>
                <w:sz w:val="16"/>
                <w:szCs w:val="16"/>
              </w:rPr>
              <w:t xml:space="preserve"> </w:t>
            </w: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p>
        </w:tc>
        <w:tc>
          <w:tcPr>
            <w:shd w:val="clear" w:color="auto" w:fill="auto"/>
          </w:tcPr>
          <w:p w:rsidR="008D5009" w:rsidRPr="00870D13" w:rsidP="00426349">
            <w:pPr>
              <w:spacing w:before="0" w:after="0"/>
              <w:jc w:val="right"/>
              <w:rPr>
                <w:color w:val="000000"/>
                <w:sz w:val="16"/>
                <w:szCs w:val="16"/>
              </w:rPr>
            </w:pPr>
            <w:r w:rsidRPr="00870D13">
              <w:rPr>
                <w:noProof/>
                <w:sz w:val="16"/>
                <w:szCs w:val="16"/>
              </w:rPr>
              <w:t>12,813.00</w:t>
            </w:r>
          </w:p>
        </w:tc>
        <w:tc>
          <w:tcPr>
            <w:shd w:val="clear" w:color="auto" w:fill="auto"/>
          </w:tcPr>
          <w:p w:rsidR="008D5009" w:rsidRPr="00870D13" w:rsidP="00426349">
            <w:pPr>
              <w:spacing w:before="0" w:after="0"/>
              <w:rPr>
                <w:color w:val="000000"/>
                <w:sz w:val="16"/>
                <w:szCs w:val="16"/>
              </w:rPr>
            </w:pPr>
            <w:r w:rsidRPr="00870D13">
              <w:rPr>
                <w:noProof/>
                <w:sz w:val="16"/>
                <w:szCs w:val="16"/>
              </w:rPr>
              <w:t>MEEMA</w:t>
            </w:r>
          </w:p>
        </w:tc>
        <w:tc>
          <w:tcPr>
            <w:shd w:val="clear" w:color="auto" w:fill="auto"/>
          </w:tcPr>
          <w:p w:rsidR="008D5009" w:rsidRPr="00013586" w:rsidP="00426349">
            <w:pPr>
              <w:pStyle w:val="Text2"/>
              <w:spacing w:before="0" w:after="0"/>
              <w:ind w:left="0"/>
              <w:rPr>
                <w:color w:val="000000"/>
                <w:sz w:val="16"/>
                <w:szCs w:val="16"/>
              </w:rPr>
            </w:pPr>
            <w:r w:rsidRPr="00013586">
              <w:rPr>
                <w:noProof/>
                <w:sz w:val="16"/>
                <w:szCs w:val="16"/>
              </w:rPr>
              <w:t>Anual</w:t>
            </w:r>
          </w:p>
        </w:tc>
      </w:tr>
    </w:tbl>
    <w:p w:rsidR="008D5009" w:rsidRPr="00C23AD8" w:rsidP="008D5009">
      <w:pPr>
        <w:spacing w:before="0" w:after="0"/>
        <w:rPr>
          <w:i/>
          <w:color w:val="000000"/>
          <w:sz w:val="16"/>
          <w:szCs w:val="16"/>
        </w:rPr>
      </w:pPr>
    </w:p>
    <w:p w:rsidR="008D5009" w:rsidRPr="003B65A5" w:rsidP="008D5009">
      <w:pPr>
        <w:pStyle w:val="ManualHeading2"/>
        <w:spacing w:before="0" w:after="0"/>
      </w:pPr>
      <w:bookmarkStart w:id="119" w:name="_Toc256000088"/>
      <w:r>
        <w:rPr>
          <w:noProof/>
        </w:rPr>
        <w:t>2.A.7 Social innovation, transnational cooperation and contribution to thematic objectives 1-7</w:t>
      </w:r>
      <w:bookmarkEnd w:id="119"/>
      <w: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8"/>
        <w:gridCol w:w="1202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shd w:val="clear" w:color="auto" w:fill="auto"/>
          </w:tcPr>
          <w:p w:rsidR="008D5009" w:rsidRPr="00CE07EF" w:rsidP="00426349">
            <w:pPr>
              <w:spacing w:before="0" w:after="0"/>
              <w:rPr>
                <w:b/>
                <w:sz w:val="18"/>
                <w:szCs w:val="18"/>
                <w:lang w:val="it-IT"/>
              </w:rPr>
            </w:pPr>
            <w:r w:rsidRPr="00CE07EF">
              <w:rPr>
                <w:b/>
                <w:noProof/>
                <w:sz w:val="16"/>
                <w:szCs w:val="16"/>
                <w:lang w:val="it-IT"/>
              </w:rPr>
              <w:t>Priority axis</w:t>
            </w:r>
          </w:p>
        </w:tc>
        <w:tc>
          <w:tcPr>
            <w:shd w:val="clear" w:color="auto" w:fill="auto"/>
          </w:tcPr>
          <w:p w:rsidR="008D5009" w:rsidRPr="00597F64" w:rsidP="00426349">
            <w:pPr>
              <w:spacing w:before="0" w:after="0"/>
              <w:rPr>
                <w:b/>
                <w:sz w:val="18"/>
                <w:szCs w:val="18"/>
              </w:rPr>
            </w:pPr>
            <w:r w:rsidRPr="00597F64">
              <w:rPr>
                <w:b/>
                <w:noProof/>
                <w:sz w:val="16"/>
                <w:szCs w:val="16"/>
              </w:rPr>
              <w:t>AP3</w:t>
            </w:r>
            <w:r w:rsidRPr="00597F64">
              <w:rPr>
                <w:b/>
                <w:sz w:val="16"/>
                <w:szCs w:val="16"/>
              </w:rPr>
              <w:t xml:space="preserve">  -  </w:t>
            </w:r>
            <w:r w:rsidRPr="00597F64">
              <w:rPr>
                <w:b/>
                <w:noProof/>
                <w:sz w:val="16"/>
                <w:szCs w:val="16"/>
              </w:rPr>
              <w:t>Sprijinirea IMM-urilor ca reacție la pandemia COVID -19</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N/A</w:t>
            </w:r>
          </w:p>
          <w:p w:rsidR="008D5009" w:rsidRPr="002B60AE" w:rsidP="00426349">
            <w:pPr>
              <w:spacing w:before="0" w:after="0"/>
              <w:rPr>
                <w:sz w:val="18"/>
                <w:szCs w:val="18"/>
              </w:rPr>
            </w:pPr>
          </w:p>
        </w:tc>
      </w:tr>
    </w:tbl>
    <w:p w:rsidR="008D5009" w:rsidP="008D5009">
      <w:pPr>
        <w:pStyle w:val="Text1"/>
        <w:spacing w:before="0" w:after="0"/>
        <w:ind w:left="0"/>
      </w:pPr>
    </w:p>
    <w:p w:rsidR="008D5009" w:rsidP="008D5009">
      <w:pPr>
        <w:pStyle w:val="ManualHeading2"/>
        <w:keepLines/>
        <w:spacing w:before="0" w:after="0"/>
      </w:pPr>
      <w:bookmarkStart w:id="120" w:name="_Toc256000089"/>
      <w:r>
        <w:rPr>
          <w:noProof/>
        </w:rPr>
        <w:t>2.A.8 Performance framework</w:t>
      </w:r>
      <w:bookmarkEnd w:id="120"/>
    </w:p>
    <w:p w:rsidR="008D5009" w:rsidRPr="00941B50" w:rsidP="008D5009">
      <w:pPr>
        <w:pStyle w:val="Text1"/>
        <w:keepNext/>
        <w:keepLines/>
        <w:spacing w:before="0" w:after="0"/>
        <w:ind w:left="0"/>
      </w:pPr>
    </w:p>
    <w:p w:rsidR="008D5009" w:rsidRPr="008249AE" w:rsidP="008D5009">
      <w:pPr>
        <w:keepNext/>
        <w:keepLines/>
        <w:suppressAutoHyphens/>
        <w:spacing w:before="0" w:after="0"/>
        <w:rPr>
          <w:noProof/>
        </w:rPr>
      </w:pPr>
      <w:r w:rsidRPr="003B65A5">
        <w:rPr>
          <w:b/>
          <w:noProof/>
        </w:rPr>
        <w:t>Table 6: Performance framework of the priority axis</w:t>
      </w:r>
      <w:r>
        <w:rPr>
          <w:noProof/>
        </w:rPr>
        <w:t xml:space="preserve"> </w:t>
      </w:r>
      <w:r>
        <w:rPr>
          <w:noProof/>
        </w:rPr>
        <w:t>(by fund and, for the ERDF and ESF, category of region)</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
        <w:gridCol w:w="801"/>
        <w:gridCol w:w="2258"/>
        <w:gridCol w:w="2258"/>
        <w:gridCol w:w="1772"/>
        <w:gridCol w:w="492"/>
        <w:gridCol w:w="978"/>
        <w:gridCol w:w="332"/>
        <w:gridCol w:w="337"/>
        <w:gridCol w:w="304"/>
        <w:gridCol w:w="330"/>
        <w:gridCol w:w="336"/>
        <w:gridCol w:w="861"/>
        <w:gridCol w:w="785"/>
        <w:gridCol w:w="245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cantSplit/>
          <w:trHeight w:val="288"/>
          <w:tblHeader/>
        </w:trPr>
        <w:tc>
          <w:tcPr>
            <w:gridSpan w:val="3"/>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Priority axis</w:t>
            </w:r>
          </w:p>
        </w:tc>
        <w:tc>
          <w:tcPr>
            <w:gridSpan w:val="12"/>
            <w:shd w:val="clear" w:color="auto" w:fill="auto"/>
          </w:tcPr>
          <w:p w:rsidR="008D5009" w:rsidRPr="0012258C" w:rsidP="00426349">
            <w:pPr>
              <w:suppressAutoHyphens/>
              <w:spacing w:before="0" w:after="0"/>
              <w:rPr>
                <w:b/>
                <w:color w:val="000000"/>
                <w:sz w:val="10"/>
                <w:szCs w:val="10"/>
                <w:lang w:val="it-IT"/>
              </w:rPr>
            </w:pPr>
            <w:r w:rsidRPr="0012258C">
              <w:rPr>
                <w:b/>
                <w:noProof/>
                <w:color w:val="000000"/>
                <w:sz w:val="10"/>
                <w:szCs w:val="10"/>
                <w:lang w:val="it-IT"/>
              </w:rPr>
              <w:t xml:space="preserve">AP3 - </w:t>
            </w:r>
            <w:r w:rsidRPr="0012258C">
              <w:rPr>
                <w:b/>
                <w:color w:val="000000"/>
                <w:sz w:val="10"/>
                <w:szCs w:val="10"/>
                <w:lang w:val="it-IT"/>
              </w:rPr>
              <w:t xml:space="preserve"> </w:t>
            </w:r>
            <w:r w:rsidRPr="0012258C">
              <w:rPr>
                <w:b/>
                <w:noProof/>
                <w:color w:val="000000"/>
                <w:sz w:val="10"/>
                <w:szCs w:val="10"/>
                <w:lang w:val="it-IT"/>
              </w:rPr>
              <w:t>Sprijinirea IMM-urilor ca reacție la pandemia COVID -19</w:t>
            </w:r>
          </w:p>
        </w:tc>
      </w:tr>
      <w:tr w:rsidTr="00426349">
        <w:tblPrEx>
          <w:tblW w:w="5000" w:type="pct"/>
          <w:tblLook w:val="04A0"/>
        </w:tblPrEx>
        <w:trPr>
          <w:cantSplit/>
          <w:trHeight w:val="288"/>
          <w:tblHeader/>
        </w:trPr>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ID</w:t>
            </w:r>
          </w:p>
        </w:tc>
        <w:tc>
          <w:tcPr>
            <w:vMerge w:val="restart"/>
            <w:shd w:val="clear" w:color="auto" w:fill="auto"/>
          </w:tcPr>
          <w:p w:rsidR="008D5009" w:rsidRPr="0012258C" w:rsidP="00426349">
            <w:pPr>
              <w:suppressAutoHyphens/>
              <w:spacing w:before="0" w:after="0"/>
              <w:rPr>
                <w:b/>
                <w:noProof/>
                <w:color w:val="000000"/>
                <w:sz w:val="10"/>
                <w:szCs w:val="10"/>
                <w:lang w:val="da-DK"/>
              </w:rPr>
            </w:pPr>
            <w:r w:rsidRPr="0012258C">
              <w:rPr>
                <w:b/>
                <w:noProof/>
                <w:color w:val="000000"/>
                <w:sz w:val="10"/>
                <w:szCs w:val="10"/>
                <w:lang w:val="da-DK"/>
              </w:rPr>
              <w:t>Indicator type</w:t>
            </w:r>
          </w:p>
        </w:tc>
        <w:tc>
          <w:tcPr>
            <w:gridSpan w:val="2"/>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Indicator or key implementation step</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Measurement unit, where appropriate</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Fund</w:t>
            </w:r>
          </w:p>
        </w:tc>
        <w:tc>
          <w:tcPr>
            <w:vMerge w:val="restart"/>
            <w:shd w:val="clear" w:color="auto" w:fill="auto"/>
          </w:tcPr>
          <w:p w:rsidR="008D5009" w:rsidRPr="0012258C" w:rsidP="00426349">
            <w:pPr>
              <w:suppressAutoHyphens/>
              <w:spacing w:before="0" w:after="0"/>
              <w:rPr>
                <w:b/>
                <w:noProof/>
                <w:color w:val="000000"/>
                <w:sz w:val="10"/>
                <w:szCs w:val="10"/>
              </w:rPr>
            </w:pPr>
            <w:r w:rsidRPr="0012258C">
              <w:rPr>
                <w:b/>
                <w:noProof/>
                <w:color w:val="000000"/>
                <w:sz w:val="10"/>
                <w:szCs w:val="10"/>
              </w:rPr>
              <w:t>Category of region</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12258C">
              <w:rPr>
                <w:b/>
                <w:noProof/>
                <w:color w:val="000000"/>
                <w:sz w:val="10"/>
                <w:szCs w:val="10"/>
                <w:lang w:val="pt-PT"/>
              </w:rPr>
              <w:t>Milestone for 2018</w:t>
            </w:r>
          </w:p>
        </w:tc>
        <w:tc>
          <w:tcPr>
            <w:gridSpan w:val="3"/>
            <w:shd w:val="clear" w:color="auto" w:fill="auto"/>
          </w:tcPr>
          <w:p w:rsidR="008D5009" w:rsidRPr="0012258C" w:rsidP="00426349">
            <w:pPr>
              <w:suppressAutoHyphens/>
              <w:spacing w:before="0" w:after="0"/>
              <w:jc w:val="center"/>
              <w:rPr>
                <w:b/>
                <w:noProof/>
                <w:color w:val="000000"/>
                <w:sz w:val="10"/>
                <w:szCs w:val="10"/>
                <w:lang w:val="pt-PT"/>
              </w:rPr>
            </w:pPr>
            <w:r w:rsidRPr="00D360EB">
              <w:rPr>
                <w:b/>
                <w:noProof/>
                <w:color w:val="000000"/>
                <w:sz w:val="10"/>
                <w:szCs w:val="10"/>
                <w:lang w:val="es-ES"/>
              </w:rPr>
              <w:t>Final target (2023)</w:t>
            </w:r>
          </w:p>
        </w:tc>
        <w:tc>
          <w:tcPr>
            <w:vMerge w:val="restart"/>
            <w:shd w:val="clear" w:color="auto" w:fill="auto"/>
          </w:tcPr>
          <w:p w:rsidR="008D5009" w:rsidRPr="0012258C" w:rsidP="00426349">
            <w:pPr>
              <w:suppressAutoHyphens/>
              <w:spacing w:before="0" w:after="0"/>
              <w:rPr>
                <w:b/>
                <w:noProof/>
                <w:color w:val="000000"/>
                <w:sz w:val="10"/>
                <w:szCs w:val="10"/>
                <w:lang w:val="pt-PT"/>
              </w:rPr>
            </w:pPr>
            <w:r w:rsidRPr="0012258C">
              <w:rPr>
                <w:b/>
                <w:noProof/>
                <w:color w:val="000000"/>
                <w:sz w:val="10"/>
                <w:szCs w:val="10"/>
                <w:lang w:val="pt-PT"/>
              </w:rPr>
              <w:t>Source of data</w:t>
            </w:r>
          </w:p>
        </w:tc>
        <w:tc>
          <w:tcPr>
            <w:vMerge w:val="restart"/>
            <w:shd w:val="clear" w:color="auto" w:fill="auto"/>
          </w:tcPr>
          <w:p w:rsidR="008D5009" w:rsidRPr="003C5031" w:rsidP="00426349">
            <w:pPr>
              <w:suppressAutoHyphens/>
              <w:spacing w:before="0" w:after="0"/>
              <w:rPr>
                <w:b/>
                <w:color w:val="000000"/>
                <w:sz w:val="10"/>
                <w:szCs w:val="10"/>
              </w:rPr>
            </w:pPr>
            <w:r w:rsidRPr="0012258C">
              <w:rPr>
                <w:b/>
                <w:noProof/>
                <w:color w:val="000000"/>
                <w:sz w:val="10"/>
                <w:szCs w:val="10"/>
              </w:rPr>
              <w:t>Explanation of relevance of indicator, where appropriate</w:t>
            </w:r>
          </w:p>
        </w:tc>
      </w:tr>
      <w:tr w:rsidTr="00426349">
        <w:tblPrEx>
          <w:tblW w:w="5000" w:type="pct"/>
          <w:tblLook w:val="04A0"/>
        </w:tblPrEx>
        <w:trPr>
          <w:trHeight w:val="288"/>
        </w:trPr>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gridSpan w:val="2"/>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Pr>
                <w:b/>
                <w:noProof/>
                <w:color w:val="000000"/>
                <w:sz w:val="10"/>
                <w:szCs w:val="10"/>
              </w:rPr>
              <w:t>W</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T</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M</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W</w:t>
            </w:r>
          </w:p>
        </w:tc>
        <w:tc>
          <w:tcPr>
            <w:shd w:val="clear" w:color="auto" w:fill="auto"/>
          </w:tcPr>
          <w:p w:rsidR="008D5009" w:rsidRPr="0012258C" w:rsidP="00426349">
            <w:pPr>
              <w:suppressAutoHyphens/>
              <w:spacing w:before="0" w:after="0"/>
              <w:jc w:val="center"/>
              <w:rPr>
                <w:b/>
                <w:color w:val="000000"/>
                <w:sz w:val="10"/>
                <w:szCs w:val="10"/>
              </w:rPr>
            </w:pPr>
            <w:r w:rsidRPr="0012258C">
              <w:rPr>
                <w:b/>
                <w:noProof/>
                <w:color w:val="000000"/>
                <w:sz w:val="10"/>
                <w:szCs w:val="10"/>
              </w:rPr>
              <w:t>T</w:t>
            </w:r>
          </w:p>
        </w:tc>
        <w:tc>
          <w:tcPr>
            <w:vMerge/>
            <w:shd w:val="clear" w:color="auto" w:fill="auto"/>
          </w:tcPr>
          <w:p w:rsidR="008D5009" w:rsidRPr="0012258C" w:rsidP="00426349">
            <w:pPr>
              <w:suppressAutoHyphens/>
              <w:spacing w:before="0" w:after="0"/>
              <w:rPr>
                <w:b/>
                <w:color w:val="000000"/>
                <w:sz w:val="10"/>
                <w:szCs w:val="10"/>
              </w:rPr>
            </w:pPr>
          </w:p>
        </w:tc>
        <w:tc>
          <w:tcPr>
            <w:vMerge/>
            <w:shd w:val="clear" w:color="auto" w:fill="auto"/>
          </w:tcPr>
          <w:p w:rsidR="008D5009" w:rsidRPr="0012258C" w:rsidP="00426349">
            <w:pPr>
              <w:suppressAutoHyphens/>
              <w:spacing w:before="0" w:after="0"/>
              <w:rPr>
                <w:b/>
                <w:color w:val="000000"/>
                <w:sz w:val="10"/>
                <w:szCs w:val="10"/>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Suma totală a cheltuielii eligibile din sistemul contabil al autorităţii de certificare, certificată de această autoritate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ERDF</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Less developed</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510,957,698.00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MEEMA</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F</w:t>
            </w:r>
          </w:p>
        </w:tc>
        <w:tc>
          <w:tcPr>
            <w:gridSpan w:val="2"/>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rPr>
              <w:t>Suma totală a cheltuielii eligibile din sistemul contabil al autorităţii de certificare, certificată de această autoritate</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euro</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ERDF</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More developed</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144,607,447.00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MEEMA</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O</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Productive investment: Number of enterprises receiving support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Enterprises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ERDF</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Less developed</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43,740.00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MEEMA</w:t>
            </w:r>
          </w:p>
        </w:tc>
        <w:tc>
          <w:tcPr>
            <w:shd w:val="clear" w:color="auto" w:fill="auto"/>
          </w:tcPr>
          <w:p w:rsidR="008D5009" w:rsidRPr="0012258C" w:rsidP="00426349">
            <w:pPr>
              <w:suppressAutoHyphens/>
              <w:spacing w:before="0" w:after="0"/>
              <w:rPr>
                <w:noProof/>
                <w:color w:val="000000"/>
                <w:sz w:val="10"/>
                <w:szCs w:val="10"/>
                <w:lang w:val="pt-PT"/>
              </w:rPr>
            </w:pPr>
          </w:p>
        </w:tc>
      </w:tr>
      <w:tr w:rsidTr="00426349">
        <w:tblPrEx>
          <w:tblW w:w="5000" w:type="pct"/>
          <w:tblLook w:val="04A0"/>
        </w:tblPrEx>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CO01</w:t>
            </w:r>
          </w:p>
        </w:tc>
        <w:tc>
          <w:tcPr>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lang w:val="pt-PT"/>
              </w:rPr>
              <w:t>O</w:t>
            </w:r>
          </w:p>
        </w:tc>
        <w:tc>
          <w:tcPr>
            <w:gridSpan w:val="2"/>
            <w:shd w:val="clear" w:color="auto" w:fill="auto"/>
          </w:tcPr>
          <w:p w:rsidR="008D5009" w:rsidRPr="0012258C" w:rsidP="00426349">
            <w:pPr>
              <w:suppressAutoHyphens/>
              <w:spacing w:before="0" w:after="0"/>
              <w:rPr>
                <w:noProof/>
                <w:color w:val="000000"/>
                <w:sz w:val="10"/>
                <w:szCs w:val="10"/>
                <w:lang w:val="pt-PT"/>
              </w:rPr>
            </w:pPr>
            <w:r>
              <w:rPr>
                <w:noProof/>
                <w:color w:val="000000"/>
                <w:sz w:val="10"/>
                <w:szCs w:val="10"/>
              </w:rPr>
              <w:t>Productive investment: Number of enterprises receiving support</w:t>
            </w:r>
          </w:p>
        </w:tc>
        <w:tc>
          <w:tcPr>
            <w:shd w:val="clear" w:color="auto" w:fill="auto"/>
          </w:tcPr>
          <w:p w:rsidR="008D5009" w:rsidRPr="0012258C" w:rsidP="00426349">
            <w:pPr>
              <w:suppressAutoHyphens/>
              <w:spacing w:before="0" w:after="0"/>
              <w:rPr>
                <w:noProof/>
                <w:color w:val="000000"/>
                <w:sz w:val="10"/>
                <w:szCs w:val="10"/>
              </w:rPr>
            </w:pPr>
            <w:r w:rsidRPr="0012258C">
              <w:rPr>
                <w:noProof/>
                <w:color w:val="000000"/>
                <w:sz w:val="10"/>
                <w:szCs w:val="10"/>
              </w:rPr>
              <w:t>Enterprises</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ERDF</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More developed</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r>
              <w:rPr>
                <w:noProof/>
                <w:color w:val="000000"/>
                <w:sz w:val="10"/>
                <w:szCs w:val="10"/>
                <w:lang w:val="pt-PT"/>
              </w:rPr>
              <w:t>0</w:t>
            </w: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8D5009" w:rsidRPr="0012258C" w:rsidP="00426349">
            <w:pPr>
              <w:suppressAutoHyphens/>
              <w:spacing w:before="0" w:after="0"/>
              <w:jc w:val="right"/>
              <w:rPr>
                <w:noProof/>
                <w:color w:val="000000"/>
                <w:sz w:val="10"/>
                <w:szCs w:val="10"/>
                <w:lang w:val="pt-PT"/>
              </w:rPr>
            </w:pPr>
          </w:p>
        </w:tc>
        <w:tc>
          <w:tcPr>
            <w:shd w:val="clear" w:color="auto" w:fill="auto"/>
          </w:tcPr>
          <w:p w:rsidR="00D360EB" w:rsidRPr="0012258C" w:rsidP="00426349">
            <w:pPr>
              <w:suppressAutoHyphens/>
              <w:spacing w:before="0" w:after="0"/>
              <w:jc w:val="right"/>
              <w:rPr>
                <w:noProof/>
                <w:color w:val="000000"/>
                <w:sz w:val="10"/>
                <w:szCs w:val="10"/>
                <w:lang w:val="pt-PT"/>
              </w:rPr>
            </w:pPr>
            <w:r>
              <w:rPr>
                <w:noProof/>
                <w:color w:val="000000"/>
                <w:sz w:val="10"/>
                <w:szCs w:val="10"/>
                <w:lang w:val="pt-PT"/>
              </w:rPr>
              <w:t>14,274.00</w:t>
            </w:r>
          </w:p>
        </w:tc>
        <w:tc>
          <w:tcPr>
            <w:shd w:val="clear" w:color="auto" w:fill="auto"/>
          </w:tcPr>
          <w:p w:rsidR="008D5009" w:rsidRPr="0012258C" w:rsidP="00426349">
            <w:pPr>
              <w:suppressAutoHyphens/>
              <w:spacing w:before="0" w:after="0"/>
              <w:rPr>
                <w:noProof/>
                <w:color w:val="000000"/>
                <w:sz w:val="10"/>
                <w:szCs w:val="10"/>
                <w:lang w:val="pt-PT"/>
              </w:rPr>
            </w:pPr>
            <w:r w:rsidRPr="0012258C">
              <w:rPr>
                <w:noProof/>
                <w:color w:val="000000"/>
                <w:sz w:val="10"/>
                <w:szCs w:val="10"/>
                <w:lang w:val="pt-PT"/>
              </w:rPr>
              <w:t>MEEMA</w:t>
            </w:r>
          </w:p>
        </w:tc>
        <w:tc>
          <w:tcPr>
            <w:shd w:val="clear" w:color="auto" w:fill="auto"/>
          </w:tcPr>
          <w:p w:rsidR="008D5009" w:rsidRPr="0012258C" w:rsidP="00426349">
            <w:pPr>
              <w:suppressAutoHyphens/>
              <w:spacing w:before="0" w:after="0"/>
              <w:rPr>
                <w:noProof/>
                <w:color w:val="000000"/>
                <w:sz w:val="10"/>
                <w:szCs w:val="10"/>
                <w:lang w:val="pt-PT"/>
              </w:rPr>
            </w:pPr>
          </w:p>
        </w:tc>
      </w:tr>
    </w:tbl>
    <w:p w:rsidR="008D5009" w:rsidP="008D5009">
      <w:pPr>
        <w:keepNext/>
        <w:suppressAutoHyphens/>
        <w:spacing w:before="0" w:after="0"/>
        <w:rPr>
          <w:b/>
        </w:rPr>
      </w:pPr>
    </w:p>
    <w:p w:rsidR="008D5009" w:rsidRPr="00C25C27" w:rsidP="008D5009">
      <w:pPr>
        <w:keepNext/>
        <w:suppressAutoHyphens/>
        <w:spacing w:before="0" w:after="0"/>
        <w:rPr>
          <w:b/>
        </w:rPr>
      </w:pPr>
      <w:r w:rsidRPr="00C25C27">
        <w:rPr>
          <w:b/>
          <w:noProof/>
        </w:rPr>
        <w:t>Additional qualitative information on the establishment of the performance framework</w:t>
      </w:r>
    </w:p>
    <w:p>
      <w:pPr>
        <w:numPr>
          <w:ilvl w:val="0"/>
          <w:numId w:val="12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Microgrant: </w:t>
      </w:r>
      <w:r>
        <w:rPr>
          <w:rFonts w:ascii="Times New Roman" w:eastAsia="Times New Roman" w:hAnsi="Times New Roman" w:cs="Times New Roman"/>
          <w:b/>
          <w:bCs/>
          <w:i/>
          <w:iCs/>
        </w:rPr>
        <w:t xml:space="preserve">100.000.000 euro FEDR+BS÷2.000 eur/project)=50.000 IMM-uri " </w:t>
      </w:r>
      <w:r>
        <w:rPr>
          <w:rFonts w:ascii="Times New Roman" w:eastAsia="Times New Roman" w:hAnsi="Times New Roman" w:cs="Times New Roman"/>
          <w:b/>
          <w:bCs/>
        </w:rPr>
        <w:t xml:space="preserve"> din care </w:t>
      </w:r>
      <w:r>
        <w:rPr>
          <w:rFonts w:ascii="Times New Roman" w:eastAsia="Times New Roman" w:hAnsi="Times New Roman" w:cs="Times New Roman"/>
          <w:b/>
          <w:bCs/>
          <w:i/>
          <w:iCs/>
        </w:rPr>
        <w:t>50.000×0,75=37.500 LESS</w:t>
      </w:r>
      <w:r>
        <w:rPr>
          <w:rFonts w:ascii="Times New Roman" w:eastAsia="Times New Roman" w:hAnsi="Times New Roman" w:cs="Times New Roman"/>
          <w:b/>
          <w:bCs/>
        </w:rPr>
        <w:t> </w:t>
      </w:r>
      <w:r>
        <w:rPr>
          <w:rFonts w:ascii="Times New Roman" w:eastAsia="Times New Roman" w:hAnsi="Times New Roman" w:cs="Times New Roman"/>
          <w:b/>
          <w:bCs/>
          <w:i/>
          <w:iCs/>
        </w:rPr>
        <w:t>50.0000×0,25=125.500 MORE</w:t>
      </w:r>
    </w:p>
    <w:p>
      <w:pPr>
        <w:numPr>
          <w:ilvl w:val="0"/>
          <w:numId w:val="12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Grant pentru capital de lucru: </w:t>
      </w:r>
      <w:r>
        <w:rPr>
          <w:rFonts w:ascii="Times New Roman" w:eastAsia="Times New Roman" w:hAnsi="Times New Roman" w:cs="Times New Roman"/>
          <w:b/>
          <w:bCs/>
          <w:i/>
          <w:iCs/>
        </w:rPr>
        <w:t xml:space="preserve">298.870.000 euro FEDR+BS÷ 42.851,86  eur/project)=6,974 IMM-uri " </w:t>
      </w:r>
      <w:r>
        <w:rPr>
          <w:rFonts w:ascii="Times New Roman" w:eastAsia="Times New Roman" w:hAnsi="Times New Roman" w:cs="Times New Roman"/>
          <w:b/>
          <w:bCs/>
        </w:rPr>
        <w:t xml:space="preserve"> din care </w:t>
      </w:r>
      <w:r>
        <w:rPr>
          <w:rFonts w:ascii="Times New Roman" w:eastAsia="Times New Roman" w:hAnsi="Times New Roman" w:cs="Times New Roman"/>
          <w:b/>
          <w:bCs/>
          <w:i/>
          <w:iCs/>
        </w:rPr>
        <w:t>6.974×0,75=5,230,87 LESS</w:t>
      </w:r>
      <w:r>
        <w:rPr>
          <w:rFonts w:ascii="Times New Roman" w:eastAsia="Times New Roman" w:hAnsi="Times New Roman" w:cs="Times New Roman"/>
          <w:b/>
          <w:bCs/>
        </w:rPr>
        <w:t> </w:t>
      </w:r>
      <w:r>
        <w:rPr>
          <w:rFonts w:ascii="Times New Roman" w:eastAsia="Times New Roman" w:hAnsi="Times New Roman" w:cs="Times New Roman"/>
          <w:b/>
          <w:bCs/>
          <w:i/>
          <w:iCs/>
        </w:rPr>
        <w:t>6.974×0,25=1.743,62 MORE</w:t>
      </w:r>
    </w:p>
    <w:p>
      <w:pPr>
        <w:numPr>
          <w:ilvl w:val="0"/>
          <w:numId w:val="12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 xml:space="preserve">Grant pentru investiții productive: </w:t>
      </w:r>
      <w:r>
        <w:rPr>
          <w:rFonts w:ascii="Times New Roman" w:eastAsia="Times New Roman" w:hAnsi="Times New Roman" w:cs="Times New Roman"/>
          <w:b/>
          <w:bCs/>
          <w:i/>
          <w:iCs/>
        </w:rPr>
        <w:t xml:space="preserve">241.087.044,69 euro FEDR+BS÷ 100.000  eur/project)= 2.410,87 IMM-uri " </w:t>
      </w:r>
      <w:r>
        <w:rPr>
          <w:rFonts w:ascii="Times New Roman" w:eastAsia="Times New Roman" w:hAnsi="Times New Roman" w:cs="Times New Roman"/>
          <w:b/>
          <w:bCs/>
        </w:rPr>
        <w:t xml:space="preserve"> din care </w:t>
      </w:r>
      <w:r>
        <w:rPr>
          <w:rFonts w:ascii="Times New Roman" w:eastAsia="Times New Roman" w:hAnsi="Times New Roman" w:cs="Times New Roman"/>
          <w:b/>
          <w:bCs/>
          <w:i/>
          <w:iCs/>
        </w:rPr>
        <w:t>2.410,87</w:t>
      </w:r>
      <w:r>
        <w:rPr>
          <w:rFonts w:ascii="Times New Roman" w:eastAsia="Times New Roman" w:hAnsi="Times New Roman" w:cs="Times New Roman"/>
          <w:b/>
          <w:bCs/>
          <w:i/>
          <w:iCs/>
        </w:rPr>
        <w:t>×0,85= 2.049,24 LESS</w:t>
      </w:r>
      <w:r>
        <w:rPr>
          <w:rFonts w:ascii="Times New Roman" w:eastAsia="Times New Roman" w:hAnsi="Times New Roman" w:cs="Times New Roman"/>
          <w:b/>
          <w:bCs/>
        </w:rPr>
        <w:t> </w:t>
      </w:r>
      <w:r>
        <w:rPr>
          <w:rFonts w:ascii="Times New Roman" w:eastAsia="Times New Roman" w:hAnsi="Times New Roman" w:cs="Times New Roman"/>
          <w:b/>
          <w:bCs/>
          <w:i/>
          <w:iCs/>
        </w:rPr>
        <w:t>2.410,87</w:t>
      </w:r>
      <w:r>
        <w:rPr>
          <w:rFonts w:ascii="Times New Roman" w:eastAsia="Times New Roman" w:hAnsi="Times New Roman" w:cs="Times New Roman"/>
          <w:b/>
          <w:bCs/>
          <w:i/>
          <w:iCs/>
        </w:rPr>
        <w:t>×0,15= 361,63 MORE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Pentru primele 2 instrumente se utilizează prorata pentru IMM-uri (75% LESS și 25% MORE)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Pentru instrumentul 3, finanțarea se va face 85% în LESS și 15% în MORE.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Ținta indicatorului de realizare pentru 2023 a fost stabilită la un nivel de 98,43% din alocarea FEDR.</w:t>
      </w:r>
    </w:p>
    <w:p w:rsidR="008D5009" w:rsidP="008D5009">
      <w:pPr>
        <w:suppressAutoHyphens/>
        <w:spacing w:before="0" w:after="0"/>
      </w:pPr>
    </w:p>
    <w:p w:rsidR="008D5009" w:rsidRPr="000C7BCE" w:rsidP="008D5009">
      <w:pPr>
        <w:suppressAutoHyphens/>
        <w:spacing w:before="0" w:after="0"/>
      </w:pPr>
    </w:p>
    <w:p w:rsidR="008D5009" w:rsidP="008D5009">
      <w:pPr>
        <w:pStyle w:val="ManualHeading2"/>
        <w:spacing w:before="0" w:after="0"/>
        <w:ind w:left="851" w:hanging="851"/>
        <w:outlineLvl w:val="9"/>
        <w:rPr>
          <w:color w:val="000000"/>
        </w:rPr>
      </w:pPr>
      <w:bookmarkStart w:id="121" w:name="_Toc256000090"/>
      <w:r>
        <w:rPr>
          <w:noProof/>
          <w:color w:val="000000"/>
        </w:rPr>
        <w:t>2.A.9 Categories of intervention</w:t>
      </w:r>
      <w:bookmarkEnd w:id="121"/>
    </w:p>
    <w:p w:rsidR="008D5009" w:rsidRPr="00AF73E7" w:rsidP="008D5009">
      <w:pPr>
        <w:spacing w:before="0" w:after="0"/>
      </w:pPr>
      <w:r w:rsidRPr="00AF73E7">
        <w:rPr>
          <w:noProof/>
        </w:rPr>
        <w:t>Categories of intervention corresponding to the content of the priority axis based on a nomenclature adopted by the Commission, and indicative breakdown of Union support.</w:t>
      </w:r>
    </w:p>
    <w:p w:rsidR="008D5009" w:rsidRPr="00DC028E" w:rsidP="008D5009">
      <w:pPr>
        <w:suppressAutoHyphens/>
        <w:spacing w:before="0" w:after="0"/>
      </w:pPr>
    </w:p>
    <w:p w:rsidR="008D5009" w:rsidRPr="00C23AD8" w:rsidP="008D5009">
      <w:pPr>
        <w:keepNext/>
        <w:keepLines/>
        <w:suppressAutoHyphens/>
        <w:spacing w:before="0" w:after="0"/>
        <w:rPr>
          <w:color w:val="000000"/>
          <w:sz w:val="18"/>
          <w:szCs w:val="18"/>
        </w:rPr>
      </w:pPr>
      <w:r>
        <w:rPr>
          <w:b/>
          <w:noProof/>
        </w:rPr>
        <w:t>Tables 7-11: Categories of intervention</w:t>
      </w:r>
    </w:p>
    <w:p w:rsidR="008D5009" w:rsidP="008D5009">
      <w:pPr>
        <w:keepNext/>
        <w:keepLines/>
        <w:spacing w:before="0" w:after="0"/>
        <w:rPr>
          <w:lang w:eastAsia="en-GB"/>
        </w:rPr>
      </w:pPr>
    </w:p>
    <w:p w:rsidR="008D5009" w:rsidRPr="00BF44C1" w:rsidP="008D5009">
      <w:pPr>
        <w:keepNext/>
        <w:keepLines/>
        <w:spacing w:before="0" w:after="0"/>
        <w:rPr>
          <w:b/>
          <w:color w:val="000000"/>
          <w:sz w:val="20"/>
          <w:szCs w:val="20"/>
        </w:rPr>
      </w:pPr>
      <w:r w:rsidRPr="00BF44C1">
        <w:rPr>
          <w:b/>
          <w:noProof/>
          <w:sz w:val="20"/>
          <w:szCs w:val="20"/>
          <w:lang w:eastAsia="en-GB"/>
        </w:rPr>
        <w:t>Table 7: Dimension 1 - Intervention field</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39"/>
        <w:gridCol w:w="1457"/>
        <w:gridCol w:w="887"/>
        <w:gridCol w:w="8879"/>
        <w:gridCol w:w="1912"/>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A15E2F" w:rsidP="00426349">
            <w:pPr>
              <w:spacing w:before="0" w:after="0"/>
              <w:rPr>
                <w:b/>
                <w:color w:val="000000"/>
                <w:sz w:val="18"/>
                <w:szCs w:val="18"/>
              </w:rPr>
            </w:pPr>
            <w:r>
              <w:rPr>
                <w:b/>
                <w:noProof/>
                <w:color w:val="000000"/>
                <w:sz w:val="16"/>
                <w:szCs w:val="16"/>
              </w:rPr>
              <w:t>Priority axis</w:t>
            </w:r>
          </w:p>
        </w:tc>
        <w:tc>
          <w:tcPr>
            <w:gridSpan w:val="3"/>
            <w:shd w:val="clear" w:color="auto" w:fill="auto"/>
          </w:tcPr>
          <w:p w:rsidR="008D5009" w:rsidRPr="00A15E2F" w:rsidP="00426349">
            <w:pPr>
              <w:spacing w:before="0" w:after="0"/>
              <w:rPr>
                <w:b/>
                <w:color w:val="000000"/>
                <w:sz w:val="18"/>
                <w:szCs w:val="18"/>
              </w:rPr>
            </w:pPr>
            <w:r>
              <w:rPr>
                <w:b/>
                <w:noProof/>
                <w:color w:val="000000"/>
                <w:sz w:val="16"/>
                <w:szCs w:val="16"/>
              </w:rPr>
              <w:t xml:space="preserve">AP3 - </w:t>
            </w:r>
            <w:r w:rsidRPr="00A15E2F">
              <w:rPr>
                <w:b/>
                <w:color w:val="000000"/>
                <w:sz w:val="16"/>
                <w:szCs w:val="16"/>
              </w:rPr>
              <w:t xml:space="preserve"> </w:t>
            </w:r>
            <w:r>
              <w:rPr>
                <w:b/>
                <w:noProof/>
                <w:color w:val="000000"/>
                <w:sz w:val="16"/>
                <w:szCs w:val="16"/>
              </w:rPr>
              <w:t>Sprijinirea IMM-urilor ca reacție la pandemia COVID -19</w:t>
            </w:r>
          </w:p>
        </w:tc>
      </w:tr>
      <w:tr w:rsidTr="00426349">
        <w:tblPrEx>
          <w:tblW w:w="5000" w:type="pct"/>
          <w:tblLook w:val="04A0"/>
        </w:tblPrEx>
        <w:trPr>
          <w:trHeight w:val="288"/>
          <w:tblHeader/>
        </w:trPr>
        <w:tc>
          <w:tcPr>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Fund</w:t>
            </w:r>
          </w:p>
        </w:tc>
        <w:tc>
          <w:tcPr>
            <w:gridSpan w:val="2"/>
            <w:shd w:val="clear" w:color="auto" w:fill="auto"/>
          </w:tcPr>
          <w:p w:rsidR="008D5009" w:rsidRPr="004D625B" w:rsidP="00426349">
            <w:pPr>
              <w:suppressAutoHyphens/>
              <w:spacing w:before="0" w:after="0"/>
              <w:jc w:val="center"/>
              <w:rPr>
                <w:b/>
                <w:sz w:val="16"/>
                <w:szCs w:val="16"/>
              </w:rPr>
            </w:pPr>
            <w:r w:rsidRPr="004D625B">
              <w:rPr>
                <w:b/>
                <w:bCs/>
                <w:noProof/>
                <w:sz w:val="16"/>
                <w:szCs w:val="16"/>
                <w:lang w:eastAsia="en-GB"/>
              </w:rPr>
              <w:t>Category of region</w:t>
            </w:r>
          </w:p>
        </w:tc>
        <w:tc>
          <w:tcPr>
            <w:shd w:val="clear" w:color="auto" w:fill="auto"/>
          </w:tcPr>
          <w:p w:rsidR="008D5009" w:rsidRPr="004D625B" w:rsidP="00426349">
            <w:pPr>
              <w:spacing w:before="0" w:after="0"/>
              <w:jc w:val="center"/>
              <w:rPr>
                <w:b/>
                <w:sz w:val="16"/>
                <w:szCs w:val="16"/>
              </w:rPr>
            </w:pPr>
            <w:r w:rsidRPr="004D625B">
              <w:rPr>
                <w:b/>
                <w:noProof/>
                <w:sz w:val="16"/>
                <w:szCs w:val="16"/>
              </w:rPr>
              <w:t>Code</w:t>
            </w:r>
          </w:p>
        </w:tc>
        <w:tc>
          <w:tcPr>
            <w:shd w:val="clear" w:color="auto" w:fill="auto"/>
          </w:tcPr>
          <w:p w:rsidR="008D5009" w:rsidRPr="004D625B" w:rsidP="00426349">
            <w:pPr>
              <w:spacing w:before="0" w:after="0"/>
              <w:jc w:val="center"/>
              <w:rPr>
                <w:b/>
                <w:sz w:val="16"/>
                <w:szCs w:val="16"/>
              </w:rPr>
            </w:pPr>
            <w:r w:rsidRPr="004D625B">
              <w:rPr>
                <w:b/>
                <w:noProof/>
                <w:sz w:val="16"/>
                <w:szCs w:val="16"/>
              </w:rPr>
              <w:t>€ amount</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Less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001</w:t>
            </w:r>
            <w:r w:rsidRPr="00727EAD">
              <w:rPr>
                <w:color w:val="000000"/>
                <w:sz w:val="16"/>
                <w:szCs w:val="16"/>
              </w:rPr>
              <w:t xml:space="preserve">. </w:t>
            </w:r>
            <w:r w:rsidRPr="00727EAD">
              <w:rPr>
                <w:noProof/>
                <w:color w:val="000000"/>
                <w:sz w:val="16"/>
                <w:szCs w:val="16"/>
              </w:rPr>
              <w:t>Generic productive investment in small and medium –sized enterprises (‘SMEs’)</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434,314,042.45</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More developed</w:t>
            </w: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001</w:t>
            </w:r>
            <w:r w:rsidRPr="00727EAD">
              <w:rPr>
                <w:color w:val="000000"/>
                <w:sz w:val="16"/>
                <w:szCs w:val="16"/>
              </w:rPr>
              <w:t xml:space="preserve">. </w:t>
            </w:r>
            <w:r w:rsidRPr="00727EAD">
              <w:rPr>
                <w:noProof/>
                <w:color w:val="000000"/>
                <w:sz w:val="16"/>
                <w:szCs w:val="16"/>
              </w:rPr>
              <w:t>Generic productive investment in small and medium –sized enterprises (‘SMEs’)</w:t>
            </w:r>
          </w:p>
        </w:tc>
        <w:tc>
          <w:tcPr>
            <w:shd w:val="clear" w:color="auto" w:fill="auto"/>
          </w:tcPr>
          <w:p w:rsidR="008D5009" w:rsidRPr="0062754E" w:rsidP="00426349">
            <w:pPr>
              <w:suppressAutoHyphens/>
              <w:spacing w:before="0" w:after="0"/>
              <w:jc w:val="right"/>
              <w:rPr>
                <w:sz w:val="16"/>
                <w:szCs w:val="16"/>
              </w:rPr>
            </w:pPr>
            <w:r w:rsidRPr="00727EAD">
              <w:rPr>
                <w:noProof/>
                <w:sz w:val="16"/>
                <w:szCs w:val="16"/>
              </w:rPr>
              <w:t>115,685,957.55</w:t>
            </w:r>
          </w:p>
        </w:tc>
      </w:tr>
    </w:tbl>
    <w:p w:rsidR="008D5009" w:rsidP="008D5009">
      <w:pPr>
        <w:suppressAutoHyphens/>
        <w:spacing w:before="0" w:after="0"/>
        <w:rPr>
          <w:sz w:val="16"/>
          <w:szCs w:val="16"/>
        </w:rPr>
      </w:pPr>
    </w:p>
    <w:p w:rsidR="008D5009" w:rsidRPr="005701D6" w:rsidP="008D5009">
      <w:pPr>
        <w:keepNext/>
        <w:autoSpaceDE w:val="0"/>
        <w:autoSpaceDN w:val="0"/>
        <w:adjustRightInd w:val="0"/>
        <w:spacing w:before="0" w:after="0"/>
        <w:rPr>
          <w:sz w:val="20"/>
          <w:szCs w:val="20"/>
        </w:rPr>
      </w:pPr>
      <w:r w:rsidRPr="005701D6">
        <w:rPr>
          <w:b/>
          <w:noProof/>
          <w:sz w:val="20"/>
          <w:szCs w:val="20"/>
          <w:lang w:eastAsia="en-GB"/>
        </w:rPr>
        <w:t>Table 8: Dimension 2 - Form of finance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2075"/>
        <w:gridCol w:w="1648"/>
        <w:gridCol w:w="5162"/>
        <w:gridCol w:w="3554"/>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Priority axis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AP3 - </w:t>
            </w:r>
            <w:r w:rsidRPr="00A15E2F">
              <w:rPr>
                <w:b/>
                <w:color w:val="000000"/>
                <w:sz w:val="16"/>
                <w:szCs w:val="16"/>
              </w:rPr>
              <w:t xml:space="preserve"> </w:t>
            </w:r>
            <w:r>
              <w:rPr>
                <w:b/>
                <w:noProof/>
                <w:color w:val="000000"/>
                <w:sz w:val="16"/>
                <w:szCs w:val="16"/>
              </w:rPr>
              <w:t>Sprijinirea IMM-urilor ca reacție la pandemia COVID -19</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Fund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Category of region</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Code</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 amount</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Less developed</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Non-repayable grant</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434,314,042.45</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More developed</w:t>
            </w:r>
          </w:p>
        </w:tc>
        <w:tc>
          <w:tcPr>
            <w:shd w:val="clear" w:color="auto" w:fill="auto"/>
          </w:tcPr>
          <w:p w:rsidR="008D5009" w:rsidRPr="00727EAD" w:rsidP="00426349">
            <w:pPr>
              <w:suppressAutoHyphens/>
              <w:spacing w:before="0" w:after="0"/>
              <w:rPr>
                <w:color w:val="000000"/>
                <w:sz w:val="16"/>
                <w:szCs w:val="16"/>
                <w:lang w:val="fr-BE"/>
              </w:rPr>
            </w:pPr>
            <w:r w:rsidRPr="00727EAD">
              <w:rPr>
                <w:noProof/>
                <w:color w:val="000000"/>
                <w:sz w:val="16"/>
                <w:szCs w:val="16"/>
              </w:rPr>
              <w:t>01</w:t>
            </w:r>
            <w:r w:rsidRPr="00727EAD">
              <w:rPr>
                <w:color w:val="000000"/>
                <w:sz w:val="16"/>
                <w:szCs w:val="16"/>
              </w:rPr>
              <w:t xml:space="preserve">. </w:t>
            </w:r>
            <w:r w:rsidRPr="00727EAD">
              <w:rPr>
                <w:noProof/>
                <w:color w:val="000000"/>
                <w:sz w:val="16"/>
                <w:szCs w:val="16"/>
              </w:rPr>
              <w:t>Non-repayable grant</w:t>
            </w:r>
          </w:p>
        </w:tc>
        <w:tc>
          <w:tcPr>
            <w:shd w:val="clear" w:color="auto" w:fill="auto"/>
          </w:tcPr>
          <w:p w:rsidR="008D5009" w:rsidRPr="00376E50" w:rsidP="00426349">
            <w:pPr>
              <w:suppressAutoHyphens/>
              <w:spacing w:before="0" w:after="0"/>
              <w:jc w:val="right"/>
              <w:rPr>
                <w:color w:val="000000"/>
                <w:sz w:val="16"/>
                <w:szCs w:val="16"/>
              </w:rPr>
            </w:pPr>
            <w:r w:rsidRPr="00727EAD">
              <w:rPr>
                <w:noProof/>
                <w:color w:val="000000"/>
                <w:sz w:val="16"/>
                <w:szCs w:val="16"/>
              </w:rPr>
              <w:t>115,685,957.55</w:t>
            </w:r>
          </w:p>
        </w:tc>
      </w:tr>
    </w:tbl>
    <w:p w:rsidR="008D5009" w:rsidP="008D5009">
      <w:pPr>
        <w:suppressAutoHyphens/>
        <w:spacing w:before="0" w:after="0"/>
        <w:rPr>
          <w:color w:val="000000"/>
          <w:sz w:val="18"/>
          <w:szCs w:val="18"/>
        </w:rPr>
      </w:pPr>
    </w:p>
    <w:p w:rsidR="008D5009" w:rsidRPr="005701D6" w:rsidP="008D5009">
      <w:pPr>
        <w:keepNext/>
        <w:autoSpaceDE w:val="0"/>
        <w:autoSpaceDN w:val="0"/>
        <w:adjustRightInd w:val="0"/>
        <w:spacing w:before="0" w:after="0"/>
        <w:rPr>
          <w:b/>
          <w:sz w:val="20"/>
          <w:szCs w:val="20"/>
          <w:lang w:eastAsia="en-GB"/>
        </w:rPr>
      </w:pPr>
      <w:r w:rsidRPr="005701D6">
        <w:rPr>
          <w:b/>
          <w:noProof/>
          <w:sz w:val="20"/>
          <w:szCs w:val="20"/>
          <w:lang w:eastAsia="en-GB"/>
        </w:rPr>
        <w:t>Table 9: Dimension 3 - Territory type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44"/>
        <w:gridCol w:w="2035"/>
        <w:gridCol w:w="1905"/>
        <w:gridCol w:w="4529"/>
        <w:gridCol w:w="3961"/>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5B69A1" w:rsidP="00426349">
            <w:pPr>
              <w:suppressAutoHyphens/>
              <w:spacing w:before="0" w:after="0"/>
              <w:rPr>
                <w:b/>
                <w:color w:val="000000"/>
                <w:sz w:val="18"/>
                <w:szCs w:val="18"/>
              </w:rPr>
            </w:pPr>
            <w:r>
              <w:rPr>
                <w:b/>
                <w:noProof/>
                <w:color w:val="000000"/>
                <w:sz w:val="16"/>
                <w:szCs w:val="16"/>
              </w:rPr>
              <w:t>Priority axis</w:t>
            </w:r>
          </w:p>
        </w:tc>
        <w:tc>
          <w:tcPr>
            <w:gridSpan w:val="3"/>
            <w:shd w:val="clear" w:color="auto" w:fill="auto"/>
          </w:tcPr>
          <w:p w:rsidR="008D5009" w:rsidRPr="005B69A1" w:rsidP="00426349">
            <w:pPr>
              <w:suppressAutoHyphens/>
              <w:spacing w:before="0" w:after="0"/>
              <w:rPr>
                <w:b/>
                <w:color w:val="000000"/>
                <w:sz w:val="18"/>
                <w:szCs w:val="18"/>
              </w:rPr>
            </w:pPr>
            <w:r>
              <w:rPr>
                <w:b/>
                <w:noProof/>
                <w:color w:val="000000"/>
                <w:sz w:val="16"/>
                <w:szCs w:val="16"/>
              </w:rPr>
              <w:t xml:space="preserve">AP3 - </w:t>
            </w:r>
            <w:r w:rsidRPr="00A15E2F">
              <w:rPr>
                <w:b/>
                <w:color w:val="000000"/>
                <w:sz w:val="16"/>
                <w:szCs w:val="16"/>
              </w:rPr>
              <w:t xml:space="preserve"> </w:t>
            </w:r>
            <w:r>
              <w:rPr>
                <w:b/>
                <w:noProof/>
                <w:color w:val="000000"/>
                <w:sz w:val="16"/>
                <w:szCs w:val="16"/>
              </w:rPr>
              <w:t>Sprijinirea IMM-urilor ca reacție la pandemia COVID -19</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Fund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Category of region</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Code</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 amount</w:t>
            </w:r>
          </w:p>
        </w:tc>
      </w:tr>
      <w:tr w:rsidTr="00426349">
        <w:tblPrEx>
          <w:tblW w:w="5000" w:type="pct"/>
          <w:tblLook w:val="04A0"/>
        </w:tblPrEx>
        <w:trPr>
          <w:trHeight w:val="288"/>
        </w:trPr>
        <w:tc>
          <w:tcPr>
            <w:shd w:val="clear" w:color="auto" w:fill="auto"/>
          </w:tcPr>
          <w:p w:rsidR="008D5009" w:rsidRPr="00727EAD" w:rsidP="00426349">
            <w:pPr>
              <w:pStyle w:val="Text2"/>
              <w:spacing w:before="0" w:after="0"/>
              <w:ind w:left="0"/>
              <w:jc w:val="center"/>
              <w:rPr>
                <w:color w:val="000000"/>
                <w:sz w:val="16"/>
                <w:szCs w:val="16"/>
              </w:rPr>
            </w:pPr>
            <w:r w:rsidRPr="00727EAD">
              <w:rPr>
                <w:color w:val="000000"/>
                <w:sz w:val="16"/>
                <w:szCs w:val="16"/>
              </w:rPr>
              <w:t xml:space="preserve"> </w:t>
            </w:r>
            <w:r w:rsidRPr="00727EAD">
              <w:rPr>
                <w:noProof/>
                <w:color w:val="000000"/>
                <w:sz w:val="16"/>
                <w:szCs w:val="16"/>
              </w:rPr>
              <w:t>ERDF</w:t>
            </w:r>
          </w:p>
        </w:tc>
        <w:tc>
          <w:tcPr>
            <w:gridSpan w:val="2"/>
            <w:shd w:val="clear" w:color="auto" w:fill="auto"/>
          </w:tcPr>
          <w:p w:rsidR="008D5009" w:rsidRPr="00727EAD" w:rsidP="00426349">
            <w:pPr>
              <w:suppressAutoHyphens/>
              <w:spacing w:before="0" w:after="0"/>
              <w:rPr>
                <w:color w:val="000000"/>
                <w:sz w:val="16"/>
                <w:szCs w:val="16"/>
              </w:rPr>
            </w:pPr>
          </w:p>
        </w:tc>
        <w:tc>
          <w:tcPr>
            <w:shd w:val="clear" w:color="auto" w:fill="auto"/>
          </w:tcPr>
          <w:p w:rsidR="008D5009" w:rsidRPr="00727EAD" w:rsidP="00426349">
            <w:pPr>
              <w:suppressAutoHyphens/>
              <w:spacing w:before="0" w:after="0"/>
              <w:rPr>
                <w:color w:val="000000"/>
                <w:sz w:val="16"/>
                <w:szCs w:val="16"/>
              </w:rPr>
            </w:pPr>
            <w:r w:rsidRPr="00727EAD">
              <w:rPr>
                <w:noProof/>
                <w:color w:val="000000"/>
                <w:sz w:val="16"/>
                <w:szCs w:val="16"/>
              </w:rPr>
              <w:t>07</w:t>
            </w:r>
            <w:r w:rsidRPr="00727EAD">
              <w:rPr>
                <w:color w:val="000000"/>
                <w:sz w:val="16"/>
                <w:szCs w:val="16"/>
              </w:rPr>
              <w:t xml:space="preserve">. </w:t>
            </w:r>
            <w:r w:rsidRPr="00727EAD">
              <w:rPr>
                <w:noProof/>
                <w:color w:val="000000"/>
                <w:sz w:val="16"/>
                <w:szCs w:val="16"/>
              </w:rPr>
              <w:t>Not applicable</w:t>
            </w:r>
          </w:p>
        </w:tc>
        <w:tc>
          <w:tcPr>
            <w:shd w:val="clear" w:color="auto" w:fill="auto"/>
          </w:tcPr>
          <w:p w:rsidR="008D5009" w:rsidRPr="00376E50" w:rsidP="00426349">
            <w:pPr>
              <w:suppressAutoHyphens/>
              <w:spacing w:before="0" w:after="0"/>
              <w:jc w:val="right"/>
              <w:rPr>
                <w:color w:val="000000"/>
                <w:sz w:val="16"/>
                <w:szCs w:val="16"/>
              </w:rPr>
            </w:pPr>
            <w:r w:rsidRPr="00727EAD">
              <w:rPr>
                <w:noProof/>
                <w:sz w:val="16"/>
                <w:szCs w:val="16"/>
              </w:rPr>
              <w:t>550,000,000.00</w:t>
            </w:r>
          </w:p>
        </w:tc>
      </w:tr>
    </w:tbl>
    <w:p w:rsidR="008D5009" w:rsidP="008D5009">
      <w:pPr>
        <w:suppressAutoHyphens/>
        <w:spacing w:before="0" w:after="0"/>
        <w:rPr>
          <w:color w:val="000000"/>
          <w:sz w:val="18"/>
          <w:szCs w:val="18"/>
        </w:rPr>
      </w:pPr>
    </w:p>
    <w:p w:rsidR="008D5009" w:rsidRPr="005701D6" w:rsidP="008D5009">
      <w:pPr>
        <w:pStyle w:val="Text2"/>
        <w:spacing w:before="0" w:after="0"/>
        <w:ind w:left="0"/>
        <w:rPr>
          <w:color w:val="000000"/>
          <w:sz w:val="18"/>
          <w:szCs w:val="18"/>
        </w:rPr>
      </w:pPr>
      <w:r w:rsidRPr="005701D6">
        <w:rPr>
          <w:b/>
          <w:noProof/>
          <w:sz w:val="20"/>
          <w:lang w:eastAsia="en-GB"/>
        </w:rPr>
        <w:t>Table 10: Dimension 4 - Territorial delivery mechanisms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1889"/>
        <w:gridCol w:w="1962"/>
        <w:gridCol w:w="4665"/>
        <w:gridCol w:w="40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C23AD8" w:rsidP="00426349">
            <w:pPr>
              <w:suppressAutoHyphens/>
              <w:spacing w:before="0" w:after="0"/>
              <w:rPr>
                <w:b/>
                <w:color w:val="000000"/>
                <w:sz w:val="18"/>
                <w:szCs w:val="18"/>
              </w:rPr>
            </w:pPr>
            <w:r>
              <w:rPr>
                <w:b/>
                <w:noProof/>
                <w:sz w:val="16"/>
                <w:szCs w:val="16"/>
              </w:rPr>
              <w:t>Priority axis</w:t>
            </w:r>
          </w:p>
        </w:tc>
        <w:tc>
          <w:tcPr>
            <w:gridSpan w:val="3"/>
            <w:shd w:val="clear" w:color="auto" w:fill="auto"/>
          </w:tcPr>
          <w:p w:rsidR="008D5009" w:rsidRPr="00C23AD8" w:rsidP="00426349">
            <w:pPr>
              <w:suppressAutoHyphens/>
              <w:spacing w:before="0" w:after="0"/>
              <w:rPr>
                <w:b/>
                <w:color w:val="000000"/>
                <w:sz w:val="18"/>
                <w:szCs w:val="18"/>
              </w:rPr>
            </w:pPr>
            <w:r w:rsidRPr="00C23AD8">
              <w:rPr>
                <w:b/>
                <w:noProof/>
                <w:color w:val="000000"/>
                <w:sz w:val="18"/>
                <w:szCs w:val="18"/>
              </w:rPr>
              <w:t>AP3</w:t>
            </w:r>
            <w:r w:rsidRPr="00C23AD8">
              <w:rPr>
                <w:b/>
                <w:color w:val="000000"/>
                <w:sz w:val="18"/>
                <w:szCs w:val="18"/>
              </w:rPr>
              <w:t xml:space="preserve"> - </w:t>
            </w:r>
            <w:r w:rsidRPr="00C23AD8">
              <w:rPr>
                <w:b/>
                <w:noProof/>
                <w:color w:val="000000"/>
                <w:sz w:val="18"/>
                <w:szCs w:val="18"/>
              </w:rPr>
              <w:t>Sprijinirea IMM-urilor ca reacție la pandemia COVID -19</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Fund</w:t>
            </w:r>
          </w:p>
        </w:tc>
        <w:tc>
          <w:tcPr>
            <w:gridSpan w:val="2"/>
            <w:shd w:val="clear" w:color="auto" w:fill="auto"/>
          </w:tcPr>
          <w:p w:rsidR="008D5009" w:rsidRPr="00376E50" w:rsidP="00426349">
            <w:pPr>
              <w:suppressAutoHyphens/>
              <w:spacing w:before="0" w:after="0"/>
              <w:jc w:val="center"/>
              <w:rPr>
                <w:b/>
                <w:bCs/>
                <w:color w:val="000000"/>
                <w:sz w:val="16"/>
                <w:szCs w:val="16"/>
                <w:lang w:eastAsia="en-GB"/>
              </w:rPr>
            </w:pPr>
            <w:r>
              <w:rPr>
                <w:b/>
                <w:bCs/>
                <w:noProof/>
                <w:color w:val="000000"/>
                <w:sz w:val="16"/>
                <w:szCs w:val="16"/>
                <w:lang w:eastAsia="en-GB"/>
              </w:rPr>
              <w:t>Category of region</w:t>
            </w:r>
          </w:p>
        </w:tc>
        <w:tc>
          <w:tcPr>
            <w:shd w:val="clear" w:color="auto" w:fill="auto"/>
          </w:tcPr>
          <w:p w:rsidR="008D5009" w:rsidRPr="00376E50" w:rsidP="00426349">
            <w:pPr>
              <w:spacing w:before="0" w:after="0"/>
              <w:jc w:val="center"/>
              <w:rPr>
                <w:b/>
                <w:color w:val="000000"/>
                <w:sz w:val="16"/>
                <w:szCs w:val="16"/>
              </w:rPr>
            </w:pPr>
            <w:r w:rsidRPr="00376E50">
              <w:rPr>
                <w:b/>
                <w:noProof/>
                <w:color w:val="000000"/>
                <w:sz w:val="16"/>
                <w:szCs w:val="16"/>
              </w:rPr>
              <w:t>Code</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 amount</w:t>
            </w:r>
          </w:p>
        </w:tc>
      </w:tr>
      <w:tr w:rsidTr="00426349">
        <w:tblPrEx>
          <w:tblW w:w="5000" w:type="pct"/>
          <w:tblLook w:val="04A0"/>
        </w:tblPrEx>
        <w:trPr>
          <w:trHeight w:val="288"/>
        </w:trPr>
        <w:tc>
          <w:tcPr>
            <w:shd w:val="clear" w:color="auto" w:fill="auto"/>
          </w:tcPr>
          <w:p w:rsidR="008D5009" w:rsidRPr="000C35FC" w:rsidP="00426349">
            <w:pPr>
              <w:suppressAutoHyphens/>
              <w:spacing w:before="0" w:after="0"/>
              <w:jc w:val="center"/>
              <w:rPr>
                <w:color w:val="000000"/>
                <w:sz w:val="16"/>
                <w:szCs w:val="16"/>
              </w:rPr>
            </w:pPr>
            <w:r w:rsidRPr="000C35FC">
              <w:rPr>
                <w:color w:val="000000"/>
                <w:sz w:val="16"/>
                <w:szCs w:val="16"/>
              </w:rPr>
              <w:t xml:space="preserve"> </w:t>
            </w:r>
            <w:r w:rsidRPr="000C35FC">
              <w:rPr>
                <w:noProof/>
                <w:color w:val="000000"/>
                <w:sz w:val="16"/>
                <w:szCs w:val="16"/>
              </w:rPr>
              <w:t>ERDF</w:t>
            </w:r>
          </w:p>
        </w:tc>
        <w:tc>
          <w:tcPr>
            <w:gridSpan w:val="2"/>
            <w:shd w:val="clear" w:color="auto" w:fill="auto"/>
          </w:tcPr>
          <w:p w:rsidR="008D5009" w:rsidRPr="000C35FC" w:rsidP="00426349">
            <w:pPr>
              <w:suppressAutoHyphens/>
              <w:spacing w:before="0" w:after="0"/>
              <w:rPr>
                <w:color w:val="000000"/>
                <w:sz w:val="16"/>
                <w:szCs w:val="16"/>
              </w:rPr>
            </w:pPr>
          </w:p>
        </w:tc>
        <w:tc>
          <w:tcPr>
            <w:shd w:val="clear" w:color="auto" w:fill="auto"/>
          </w:tcPr>
          <w:p w:rsidR="008D5009" w:rsidRPr="000C35FC" w:rsidP="00426349">
            <w:pPr>
              <w:suppressAutoHyphens/>
              <w:spacing w:before="0" w:after="0"/>
              <w:rPr>
                <w:color w:val="000000"/>
                <w:sz w:val="16"/>
                <w:szCs w:val="16"/>
              </w:rPr>
            </w:pPr>
            <w:r w:rsidRPr="000C35FC">
              <w:rPr>
                <w:noProof/>
                <w:color w:val="000000"/>
                <w:sz w:val="16"/>
                <w:szCs w:val="16"/>
              </w:rPr>
              <w:t>07</w:t>
            </w:r>
            <w:r w:rsidRPr="000C35FC">
              <w:rPr>
                <w:color w:val="000000"/>
                <w:sz w:val="16"/>
                <w:szCs w:val="16"/>
              </w:rPr>
              <w:t xml:space="preserve">. </w:t>
            </w:r>
            <w:r w:rsidRPr="000C35FC">
              <w:rPr>
                <w:noProof/>
                <w:color w:val="000000"/>
                <w:sz w:val="16"/>
                <w:szCs w:val="16"/>
              </w:rPr>
              <w:t>Not applicable</w:t>
            </w:r>
          </w:p>
        </w:tc>
        <w:tc>
          <w:tcPr>
            <w:shd w:val="clear" w:color="auto" w:fill="auto"/>
          </w:tcPr>
          <w:p w:rsidR="008D5009" w:rsidRPr="00376E50" w:rsidP="00426349">
            <w:pPr>
              <w:suppressAutoHyphens/>
              <w:spacing w:before="0" w:after="0"/>
              <w:ind w:firstLine="720"/>
              <w:jc w:val="right"/>
              <w:rPr>
                <w:color w:val="000000"/>
                <w:sz w:val="16"/>
                <w:szCs w:val="16"/>
              </w:rPr>
            </w:pPr>
            <w:r w:rsidRPr="000C35FC">
              <w:rPr>
                <w:noProof/>
                <w:color w:val="000000"/>
                <w:sz w:val="16"/>
                <w:szCs w:val="16"/>
              </w:rPr>
              <w:t>550,000,000.00</w:t>
            </w:r>
          </w:p>
        </w:tc>
      </w:tr>
    </w:tbl>
    <w:p w:rsidR="008D5009" w:rsidRPr="005701D6" w:rsidP="008D5009">
      <w:pPr>
        <w:autoSpaceDE w:val="0"/>
        <w:autoSpaceDN w:val="0"/>
        <w:adjustRightInd w:val="0"/>
        <w:spacing w:before="0" w:after="0"/>
        <w:rPr>
          <w:b/>
          <w:color w:val="000000"/>
          <w:sz w:val="20"/>
          <w:lang w:eastAsia="en-GB"/>
        </w:rPr>
      </w:pPr>
    </w:p>
    <w:p w:rsidR="008D5009" w:rsidRPr="00275CF2" w:rsidP="008D5009">
      <w:pPr>
        <w:pStyle w:val="Text2"/>
        <w:keepNext/>
        <w:spacing w:before="0" w:after="0"/>
        <w:ind w:left="0"/>
        <w:rPr>
          <w:color w:val="000000"/>
          <w:sz w:val="18"/>
          <w:szCs w:val="18"/>
        </w:rPr>
      </w:pPr>
      <w:r w:rsidRPr="005701D6">
        <w:rPr>
          <w:b/>
          <w:noProof/>
          <w:sz w:val="20"/>
          <w:lang w:eastAsia="en-GB"/>
        </w:rPr>
        <w:t>Table 11: Dimension 6 - ESF secondary theme</w:t>
      </w:r>
      <w:r>
        <w:rPr>
          <w:sz w:val="20"/>
          <w:lang w:eastAsia="en-GB"/>
        </w:rPr>
        <w:t xml:space="preserve"> </w:t>
      </w:r>
      <w:r>
        <w:rPr>
          <w:noProof/>
          <w:sz w:val="20"/>
          <w:lang w:eastAsia="en-GB"/>
        </w:rPr>
        <w:t>(ESF and YEI only)</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7"/>
        <w:gridCol w:w="2135"/>
        <w:gridCol w:w="2798"/>
        <w:gridCol w:w="3016"/>
        <w:gridCol w:w="44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blHeader/>
        </w:trPr>
        <w:tc>
          <w:tcPr>
            <w:gridSpan w:val="2"/>
            <w:shd w:val="clear" w:color="auto" w:fill="auto"/>
          </w:tcPr>
          <w:p w:rsidR="008D5009" w:rsidRPr="00376E50" w:rsidP="00426349">
            <w:pPr>
              <w:suppressAutoHyphens/>
              <w:spacing w:before="0" w:after="0"/>
              <w:rPr>
                <w:b/>
                <w:color w:val="000000"/>
                <w:sz w:val="16"/>
                <w:szCs w:val="16"/>
              </w:rPr>
            </w:pPr>
            <w:r>
              <w:rPr>
                <w:b/>
                <w:noProof/>
                <w:sz w:val="16"/>
                <w:szCs w:val="16"/>
              </w:rPr>
              <w:t>Priority axis</w:t>
            </w:r>
          </w:p>
        </w:tc>
        <w:tc>
          <w:tcPr>
            <w:gridSpan w:val="3"/>
            <w:shd w:val="clear" w:color="auto" w:fill="auto"/>
          </w:tcPr>
          <w:p w:rsidR="008D5009" w:rsidRPr="00376E50" w:rsidP="00426349">
            <w:pPr>
              <w:suppressAutoHyphens/>
              <w:spacing w:before="0" w:after="0"/>
              <w:rPr>
                <w:b/>
                <w:color w:val="000000"/>
                <w:sz w:val="16"/>
                <w:szCs w:val="16"/>
              </w:rPr>
            </w:pPr>
            <w:r w:rsidRPr="00376E50">
              <w:rPr>
                <w:b/>
                <w:noProof/>
                <w:sz w:val="16"/>
                <w:szCs w:val="16"/>
              </w:rPr>
              <w:t>AP3</w:t>
            </w:r>
            <w:r w:rsidRPr="00376E50">
              <w:rPr>
                <w:b/>
                <w:sz w:val="16"/>
                <w:szCs w:val="16"/>
              </w:rPr>
              <w:t xml:space="preserve"> - </w:t>
            </w:r>
            <w:r w:rsidRPr="00376E50">
              <w:rPr>
                <w:b/>
                <w:noProof/>
                <w:sz w:val="16"/>
                <w:szCs w:val="16"/>
              </w:rPr>
              <w:t>Sprijinirea IMM-urilor ca reacție la pandemia COVID -19</w:t>
            </w:r>
          </w:p>
        </w:tc>
      </w:tr>
      <w:tr w:rsidTr="00426349">
        <w:tblPrEx>
          <w:tblW w:w="5000" w:type="pct"/>
          <w:tblLook w:val="04A0"/>
        </w:tblPrEx>
        <w:trPr>
          <w:trHeight w:val="288"/>
          <w:tblHeader/>
        </w:trPr>
        <w:tc>
          <w:tcPr>
            <w:shd w:val="clear" w:color="auto" w:fill="auto"/>
          </w:tcPr>
          <w:p w:rsidR="008D5009" w:rsidRPr="00376E50" w:rsidP="00426349">
            <w:pPr>
              <w:suppressAutoHyphens/>
              <w:spacing w:before="0" w:after="0"/>
              <w:jc w:val="center"/>
              <w:rPr>
                <w:b/>
                <w:color w:val="000000"/>
                <w:sz w:val="16"/>
                <w:szCs w:val="16"/>
              </w:rPr>
            </w:pPr>
            <w:r>
              <w:rPr>
                <w:b/>
                <w:bCs/>
                <w:noProof/>
                <w:color w:val="000000"/>
                <w:sz w:val="16"/>
                <w:szCs w:val="16"/>
                <w:lang w:eastAsia="en-GB"/>
              </w:rPr>
              <w:t>Fund</w:t>
            </w:r>
          </w:p>
        </w:tc>
        <w:tc>
          <w:tcPr>
            <w:gridSpan w:val="2"/>
            <w:shd w:val="clear" w:color="auto" w:fill="auto"/>
          </w:tcPr>
          <w:p w:rsidR="008D5009" w:rsidRPr="00376E50" w:rsidP="00426349">
            <w:pPr>
              <w:suppressAutoHyphens/>
              <w:spacing w:before="0" w:after="0"/>
              <w:jc w:val="center"/>
              <w:rPr>
                <w:b/>
                <w:color w:val="FF0000"/>
                <w:sz w:val="16"/>
                <w:szCs w:val="16"/>
              </w:rPr>
            </w:pPr>
            <w:r>
              <w:rPr>
                <w:b/>
                <w:bCs/>
                <w:noProof/>
                <w:color w:val="000000"/>
                <w:sz w:val="16"/>
                <w:szCs w:val="16"/>
                <w:lang w:eastAsia="en-GB"/>
              </w:rPr>
              <w:t>Category of region</w:t>
            </w:r>
          </w:p>
        </w:tc>
        <w:tc>
          <w:tcPr>
            <w:shd w:val="clear" w:color="auto" w:fill="auto"/>
          </w:tcPr>
          <w:p w:rsidR="008D5009" w:rsidRPr="00376E50" w:rsidP="00426349">
            <w:pPr>
              <w:spacing w:before="0" w:after="0"/>
              <w:jc w:val="center"/>
              <w:rPr>
                <w:b/>
                <w:color w:val="FF0000"/>
                <w:sz w:val="16"/>
                <w:szCs w:val="16"/>
              </w:rPr>
            </w:pPr>
            <w:r w:rsidRPr="00376E50">
              <w:rPr>
                <w:b/>
                <w:noProof/>
                <w:color w:val="000000"/>
                <w:sz w:val="16"/>
                <w:szCs w:val="16"/>
              </w:rPr>
              <w:t>Code</w:t>
            </w:r>
          </w:p>
        </w:tc>
        <w:tc>
          <w:tcPr>
            <w:shd w:val="clear" w:color="auto" w:fill="auto"/>
          </w:tcPr>
          <w:p w:rsidR="008D5009" w:rsidRPr="00376E50" w:rsidP="00426349">
            <w:pPr>
              <w:suppressAutoHyphens/>
              <w:spacing w:before="0" w:after="0"/>
              <w:jc w:val="center"/>
              <w:rPr>
                <w:b/>
                <w:color w:val="000000"/>
                <w:sz w:val="16"/>
                <w:szCs w:val="16"/>
              </w:rPr>
            </w:pPr>
            <w:r w:rsidRPr="00376E50">
              <w:rPr>
                <w:b/>
                <w:noProof/>
                <w:color w:val="000000"/>
                <w:sz w:val="16"/>
                <w:szCs w:val="16"/>
              </w:rPr>
              <w:t>€ amount</w:t>
            </w:r>
          </w:p>
        </w:tc>
      </w:tr>
    </w:tbl>
    <w:p w:rsidR="008D5009" w:rsidRPr="00D8076F" w:rsidP="008D5009">
      <w:pPr>
        <w:spacing w:before="0" w:after="0"/>
        <w:rPr>
          <w:highlight w:val="yellow"/>
        </w:rPr>
      </w:pPr>
    </w:p>
    <w:p w:rsidR="008D5009" w:rsidRPr="00515D16" w:rsidP="008D5009">
      <w:pPr>
        <w:pStyle w:val="ManualHeading2"/>
        <w:spacing w:before="0" w:after="0"/>
        <w:rPr>
          <w:b w:val="0"/>
        </w:rPr>
      </w:pPr>
      <w:bookmarkStart w:id="122" w:name="_Toc256000091"/>
      <w:r>
        <w:rPr>
          <w:noProof/>
        </w:rPr>
        <w:t>2.A.10 Summary of the planned use of technical assistance including, where necessary, actions to reinforce the administrative capacity of authorities involved in the management and control of the programmes and beneficiaries</w:t>
      </w:r>
      <w:r>
        <w:rPr>
          <w:b w:val="0"/>
        </w:rPr>
        <w:t xml:space="preserve"> </w:t>
      </w:r>
      <w:r>
        <w:rPr>
          <w:b w:val="0"/>
          <w:noProof/>
        </w:rPr>
        <w:t>(where appropriate)</w:t>
      </w:r>
      <w:r>
        <w:rPr>
          <w:b w:val="0"/>
        </w:rPr>
        <w:t xml:space="preserve"> </w:t>
      </w:r>
      <w:r>
        <w:rPr>
          <w:b w:val="0"/>
          <w:noProof/>
        </w:rPr>
        <w:t>(by priority axis)</w:t>
      </w:r>
      <w:bookmarkEnd w:id="122"/>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78"/>
        <w:gridCol w:w="1179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shd w:val="clear" w:color="auto" w:fill="auto"/>
          </w:tcPr>
          <w:p w:rsidR="008D5009" w:rsidRPr="00376E50" w:rsidP="00426349">
            <w:pPr>
              <w:spacing w:before="0" w:after="0"/>
              <w:rPr>
                <w:i/>
                <w:color w:val="000000"/>
                <w:sz w:val="16"/>
                <w:szCs w:val="16"/>
              </w:rPr>
            </w:pPr>
            <w:r>
              <w:rPr>
                <w:b/>
                <w:noProof/>
                <w:sz w:val="16"/>
                <w:szCs w:val="16"/>
              </w:rPr>
              <w:t>Priority axis</w:t>
            </w:r>
            <w:r w:rsidRPr="00376E50">
              <w:rPr>
                <w:b/>
                <w:sz w:val="16"/>
                <w:szCs w:val="16"/>
              </w:rPr>
              <w:t xml:space="preserve">: </w:t>
            </w:r>
          </w:p>
        </w:tc>
        <w:tc>
          <w:tcPr>
            <w:shd w:val="clear" w:color="auto" w:fill="auto"/>
          </w:tcPr>
          <w:p w:rsidR="008D5009" w:rsidRPr="00376E50" w:rsidP="00426349">
            <w:pPr>
              <w:spacing w:before="0" w:after="0"/>
              <w:rPr>
                <w:i/>
                <w:color w:val="8DB3E2"/>
                <w:sz w:val="16"/>
                <w:szCs w:val="16"/>
              </w:rPr>
            </w:pPr>
            <w:r w:rsidRPr="00376E50">
              <w:rPr>
                <w:b/>
                <w:noProof/>
                <w:sz w:val="16"/>
                <w:szCs w:val="16"/>
              </w:rPr>
              <w:t>AP3</w:t>
            </w:r>
            <w:r w:rsidRPr="00376E50">
              <w:rPr>
                <w:b/>
                <w:sz w:val="16"/>
                <w:szCs w:val="16"/>
              </w:rPr>
              <w:t xml:space="preserve"> - </w:t>
            </w:r>
            <w:r w:rsidRPr="00376E50">
              <w:rPr>
                <w:b/>
                <w:noProof/>
                <w:sz w:val="16"/>
                <w:szCs w:val="16"/>
              </w:rPr>
              <w:t>Sprijinirea IMM-urilor ca reacție la pandemia COVID -19</w:t>
            </w:r>
          </w:p>
        </w:tc>
      </w:tr>
      <w:tr w:rsidTr="00426349">
        <w:tblPrEx>
          <w:tblW w:w="5000" w:type="pct"/>
          <w:tblLook w:val="04A0"/>
        </w:tblPrEx>
        <w:trPr>
          <w:trHeight w:val="288"/>
        </w:trPr>
        <w:tc>
          <w:tcPr>
            <w:gridSpan w:val="2"/>
            <w:shd w:val="clear" w:color="auto" w:fill="auto"/>
          </w:tcPr>
          <w:p>
            <w:pPr>
              <w:spacing w:before="0" w:after="240"/>
              <w:jc w:val="left"/>
              <w:rPr>
                <w:rFonts w:ascii="Times New Roman" w:eastAsia="Times New Roman" w:hAnsi="Times New Roman" w:cs="Times New Roman"/>
              </w:rPr>
            </w:pPr>
            <w:r>
              <w:rPr>
                <w:rFonts w:ascii="Times New Roman" w:eastAsia="Times New Roman" w:hAnsi="Times New Roman" w:cs="Times New Roman"/>
              </w:rPr>
              <w:t>Asistența tehnică pentru implementarea POC se va asigura prin POAT 2014-2020 (pentru care autoritate de management este Ministerul Fondurilor Europene).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POAT 2014-2020 va asigura expertiza și sprijinul logistic pentru funcționarea AM-ului, OI-urilor și a altor organisme cu atribuții delegate în implementarea acestui program, precum si:</w:t>
            </w:r>
          </w:p>
          <w:p>
            <w:pPr>
              <w:numPr>
                <w:ilvl w:val="0"/>
                <w:numId w:val="12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instruire orizontală pentru personalul AM/OI, pentru potențialii beneficiari/beneficiarii POC</w:t>
            </w:r>
          </w:p>
          <w:p>
            <w:pPr>
              <w:numPr>
                <w:ilvl w:val="0"/>
                <w:numId w:val="12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instruire specifică pentru beneficiarii POC</w:t>
            </w:r>
          </w:p>
          <w:p>
            <w:pPr>
              <w:numPr>
                <w:ilvl w:val="0"/>
                <w:numId w:val="12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sprijin pentru dezvoltarea și punerea în practică de asistență orizontală specifică pentru beneficiarii POC</w:t>
            </w:r>
          </w:p>
          <w:p>
            <w:pPr>
              <w:numPr>
                <w:ilvl w:val="0"/>
                <w:numId w:val="12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diseminarea informaţiilor şi derularea activităţilor de informare şi publicitate cu privire la fondurile structurale și POC</w:t>
            </w:r>
          </w:p>
          <w:p>
            <w:pPr>
              <w:numPr>
                <w:ilvl w:val="0"/>
                <w:numId w:val="12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îmbunătățirea cadrului și condițiilor pentru coordonarea și controlul fondurilor structurale și pentru gestionarea POC.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La nivel specific este necesar sprijin pentru:</w:t>
            </w:r>
          </w:p>
          <w:p>
            <w:pPr>
              <w:numPr>
                <w:ilvl w:val="0"/>
                <w:numId w:val="12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întărirea capacității, organizarea și funcționarea CM POC, inclusiv a unor grupuri de lucru/rețele specifice înființate pentru buna monitorizare și implementare a POC;</w:t>
            </w:r>
          </w:p>
          <w:p>
            <w:pPr>
              <w:numPr>
                <w:ilvl w:val="0"/>
                <w:numId w:val="12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elaborarea/actualizarea unor scheme de ajutor de stat;</w:t>
            </w:r>
          </w:p>
          <w:p>
            <w:pPr>
              <w:numPr>
                <w:ilvl w:val="0"/>
                <w:numId w:val="12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experţi pentru evaluarea propunerilor de proiecte (inclusiv experți internaționali), precum şi experți pentru monitorizarea proiectelor, atât în stadiul de verificare administrativă a rapoartelor de progres, a cererilor de rambursare și pentru consultanță financiară.</w:t>
            </w:r>
          </w:p>
          <w:p w:rsidR="008D5009" w:rsidRPr="008025D7" w:rsidP="00426349">
            <w:pPr>
              <w:spacing w:before="0" w:after="0"/>
              <w:rPr>
                <w:color w:val="000000"/>
                <w:sz w:val="16"/>
                <w:szCs w:val="16"/>
              </w:rPr>
            </w:pPr>
          </w:p>
        </w:tc>
      </w:tr>
    </w:tbl>
    <w:p w:rsidR="008D5009" w:rsidP="008D5009">
      <w:pPr>
        <w:spacing w:before="0" w:after="0"/>
        <w:rPr>
          <w:sz w:val="16"/>
          <w:szCs w:val="16"/>
        </w:rPr>
      </w:pPr>
      <w:r>
        <w:br w:type="page"/>
      </w:r>
      <w:r w:rsidRPr="005A79BD">
        <w:rPr>
          <w:color w:val="FFFFFF"/>
        </w:rPr>
        <w:t>.</w:t>
      </w:r>
    </w:p>
    <w:p w:rsidR="008D5009" w:rsidRPr="000808CE" w:rsidP="008D5009">
      <w:pPr>
        <w:pStyle w:val="ManualHeading1"/>
        <w:spacing w:before="0" w:after="0"/>
      </w:pPr>
      <w:bookmarkStart w:id="123" w:name="_Toc256000092"/>
      <w:r w:rsidRPr="000808CE">
        <w:rPr>
          <w:noProof/>
        </w:rPr>
        <w:t>2.B Description of the priority axes for technical assistance</w:t>
      </w:r>
      <w:bookmarkEnd w:id="123"/>
    </w:p>
    <w:p w:rsidR="008D5009" w:rsidRPr="00C23AD8" w:rsidP="008D5009">
      <w:pPr>
        <w:pStyle w:val="Heading1"/>
        <w:keepNext w:val="0"/>
        <w:pageBreakBefore/>
        <w:numPr>
          <w:ilvl w:val="0"/>
          <w:numId w:val="0"/>
        </w:numPr>
        <w:spacing w:before="0" w:after="0"/>
        <w:ind w:left="851" w:hanging="851"/>
        <w:rPr>
          <w:color w:val="000000"/>
          <w:szCs w:val="24"/>
        </w:rPr>
      </w:pPr>
      <w:bookmarkStart w:id="124" w:name="_Toc256000093"/>
      <w:r>
        <w:rPr>
          <w:noProof/>
          <w:color w:val="000000"/>
          <w:szCs w:val="24"/>
        </w:rPr>
        <w:t>3. FINANCING PLAN</w:t>
      </w:r>
      <w:bookmarkEnd w:id="124"/>
    </w:p>
    <w:p w:rsidR="008D5009" w:rsidRPr="005F6BA3" w:rsidP="008D5009">
      <w:pPr>
        <w:pStyle w:val="Text1"/>
        <w:spacing w:before="0" w:after="0"/>
        <w:ind w:left="0"/>
      </w:pPr>
    </w:p>
    <w:p w:rsidR="008D5009" w:rsidRPr="00391CD8" w:rsidP="008D5009">
      <w:pPr>
        <w:pStyle w:val="Heading2"/>
        <w:keepNext w:val="0"/>
        <w:numPr>
          <w:ilvl w:val="0"/>
          <w:numId w:val="0"/>
        </w:numPr>
        <w:spacing w:before="0" w:after="0"/>
        <w:ind w:left="850" w:hanging="850"/>
        <w:rPr>
          <w:szCs w:val="24"/>
        </w:rPr>
      </w:pPr>
      <w:bookmarkStart w:id="125" w:name="_Toc256000094"/>
      <w:r w:rsidRPr="00391CD8">
        <w:rPr>
          <w:noProof/>
          <w:szCs w:val="24"/>
        </w:rPr>
        <w:t>3.1 Financial appropriation from each fund and amounts for performance reserve</w:t>
      </w:r>
      <w:bookmarkEnd w:id="125"/>
    </w:p>
    <w:p w:rsidR="008D5009" w:rsidP="008D5009">
      <w:pPr>
        <w:spacing w:before="0" w:after="0"/>
        <w:rPr>
          <w:rFonts w:eastAsia="Arial Unicode MS"/>
          <w:b/>
        </w:rPr>
      </w:pPr>
    </w:p>
    <w:p w:rsidR="008D5009" w:rsidP="008D5009">
      <w:pPr>
        <w:spacing w:before="0" w:after="0"/>
        <w:rPr>
          <w:rFonts w:eastAsia="Arial Unicode MS"/>
          <w:b/>
        </w:rPr>
      </w:pPr>
      <w:r w:rsidRPr="00391CD8">
        <w:rPr>
          <w:rFonts w:eastAsia="Arial Unicode MS"/>
          <w:b/>
          <w:noProof/>
        </w:rPr>
        <w:t>Table 17</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tblPr>
      <w:tblGrid>
        <w:gridCol w:w="521"/>
        <w:gridCol w:w="1143"/>
        <w:gridCol w:w="727"/>
        <w:gridCol w:w="912"/>
        <w:gridCol w:w="727"/>
        <w:gridCol w:w="912"/>
        <w:gridCol w:w="727"/>
        <w:gridCol w:w="912"/>
        <w:gridCol w:w="727"/>
        <w:gridCol w:w="912"/>
        <w:gridCol w:w="727"/>
        <w:gridCol w:w="912"/>
        <w:gridCol w:w="727"/>
        <w:gridCol w:w="912"/>
        <w:gridCol w:w="727"/>
        <w:gridCol w:w="912"/>
        <w:gridCol w:w="727"/>
        <w:gridCol w:w="912"/>
      </w:tblGrid>
      <w:tr w:rsidTr="00426349">
        <w:tblPrEx>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8" w:type="dxa"/>
            <w:right w:w="68" w:type="dxa"/>
          </w:tblCellMar>
          <w:tblLook w:val="0020"/>
        </w:tblPrEx>
        <w:trPr>
          <w:trHeight w:val="288"/>
          <w:tblHeader/>
        </w:trPr>
        <w:tc>
          <w:tcPr>
            <w:vMerge w:val="restart"/>
          </w:tcPr>
          <w:p w:rsidR="008D5009" w:rsidRPr="00C23AD8" w:rsidP="00426349">
            <w:pPr>
              <w:snapToGrid w:val="0"/>
              <w:spacing w:before="0" w:after="0"/>
              <w:contextualSpacing/>
              <w:jc w:val="center"/>
              <w:rPr>
                <w:b/>
                <w:color w:val="000000"/>
                <w:sz w:val="16"/>
                <w:szCs w:val="16"/>
              </w:rPr>
            </w:pPr>
            <w:r w:rsidRPr="00C23AD8">
              <w:rPr>
                <w:b/>
                <w:noProof/>
                <w:color w:val="000000"/>
                <w:sz w:val="16"/>
                <w:szCs w:val="16"/>
              </w:rPr>
              <w:t>Fund</w:t>
            </w:r>
          </w:p>
        </w:tc>
        <w:tc>
          <w:tcPr>
            <w:vMerge w:val="restart"/>
            <w:shd w:val="clear" w:color="auto" w:fill="auto"/>
          </w:tcPr>
          <w:p w:rsidR="008D5009" w:rsidRPr="00C23AD8" w:rsidP="00426349">
            <w:pPr>
              <w:snapToGrid w:val="0"/>
              <w:spacing w:before="0" w:after="0"/>
              <w:contextualSpacing/>
              <w:jc w:val="center"/>
              <w:rPr>
                <w:b/>
                <w:color w:val="000000"/>
                <w:sz w:val="16"/>
                <w:szCs w:val="16"/>
              </w:rPr>
            </w:pPr>
            <w:r w:rsidRPr="00C23AD8">
              <w:rPr>
                <w:b/>
                <w:noProof/>
                <w:color w:val="000000"/>
                <w:sz w:val="16"/>
                <w:szCs w:val="16"/>
              </w:rPr>
              <w:t>Category of region</w:t>
            </w:r>
          </w:p>
        </w:tc>
        <w:tc>
          <w:tcPr>
            <w:gridSpan w:val="2"/>
            <w:shd w:val="clear" w:color="auto" w:fill="auto"/>
          </w:tcPr>
          <w:p w:rsidR="008D5009" w:rsidRPr="00C23AD8" w:rsidP="00426349">
            <w:pPr>
              <w:snapToGrid w:val="0"/>
              <w:spacing w:before="0" w:after="0"/>
              <w:contextualSpacing/>
              <w:jc w:val="center"/>
              <w:rPr>
                <w:b/>
                <w:color w:val="000000"/>
                <w:sz w:val="16"/>
                <w:szCs w:val="16"/>
              </w:rPr>
            </w:pPr>
            <w:r w:rsidRPr="00C23AD8">
              <w:rPr>
                <w:b/>
                <w:color w:val="000000"/>
                <w:sz w:val="16"/>
                <w:szCs w:val="16"/>
              </w:rPr>
              <w:t>2014</w:t>
            </w:r>
          </w:p>
        </w:tc>
        <w:tc>
          <w:tcPr>
            <w:gridSpan w:val="2"/>
            <w:shd w:val="clear" w:color="auto" w:fill="auto"/>
          </w:tcPr>
          <w:p w:rsidR="008D5009" w:rsidRPr="00C23AD8" w:rsidP="00426349">
            <w:pPr>
              <w:snapToGrid w:val="0"/>
              <w:spacing w:before="0" w:after="0"/>
              <w:contextualSpacing/>
              <w:jc w:val="center"/>
              <w:rPr>
                <w:b/>
                <w:color w:val="000000"/>
                <w:sz w:val="16"/>
                <w:szCs w:val="16"/>
              </w:rPr>
            </w:pPr>
            <w:r w:rsidRPr="00C23AD8">
              <w:rPr>
                <w:b/>
                <w:color w:val="000000"/>
                <w:sz w:val="16"/>
                <w:szCs w:val="16"/>
              </w:rPr>
              <w:t>2015</w:t>
            </w:r>
          </w:p>
        </w:tc>
        <w:tc>
          <w:tcPr>
            <w:gridSpan w:val="2"/>
            <w:shd w:val="clear" w:color="auto" w:fill="auto"/>
          </w:tcPr>
          <w:p w:rsidR="008D5009" w:rsidRPr="00C23AD8" w:rsidP="00426349">
            <w:pPr>
              <w:snapToGrid w:val="0"/>
              <w:spacing w:before="0" w:after="0"/>
              <w:contextualSpacing/>
              <w:jc w:val="center"/>
              <w:rPr>
                <w:b/>
                <w:color w:val="000000"/>
                <w:sz w:val="16"/>
                <w:szCs w:val="16"/>
              </w:rPr>
            </w:pPr>
            <w:r w:rsidRPr="00C23AD8">
              <w:rPr>
                <w:b/>
                <w:color w:val="000000"/>
                <w:sz w:val="16"/>
                <w:szCs w:val="16"/>
              </w:rPr>
              <w:t>2016</w:t>
            </w:r>
          </w:p>
        </w:tc>
        <w:tc>
          <w:tcPr>
            <w:gridSpan w:val="2"/>
            <w:shd w:val="clear" w:color="auto" w:fill="auto"/>
          </w:tcPr>
          <w:p w:rsidR="008D5009" w:rsidRPr="00C23AD8" w:rsidP="00426349">
            <w:pPr>
              <w:snapToGrid w:val="0"/>
              <w:spacing w:before="0" w:after="0"/>
              <w:contextualSpacing/>
              <w:jc w:val="center"/>
              <w:rPr>
                <w:b/>
                <w:color w:val="000000"/>
                <w:sz w:val="16"/>
                <w:szCs w:val="16"/>
              </w:rPr>
            </w:pPr>
            <w:r w:rsidRPr="00C23AD8">
              <w:rPr>
                <w:b/>
                <w:color w:val="000000"/>
                <w:sz w:val="16"/>
                <w:szCs w:val="16"/>
              </w:rPr>
              <w:t>2017</w:t>
            </w:r>
          </w:p>
        </w:tc>
        <w:tc>
          <w:tcPr>
            <w:gridSpan w:val="2"/>
            <w:shd w:val="clear" w:color="auto" w:fill="auto"/>
          </w:tcPr>
          <w:p w:rsidR="008D5009" w:rsidRPr="00C23AD8" w:rsidP="00426349">
            <w:pPr>
              <w:snapToGrid w:val="0"/>
              <w:spacing w:before="0" w:after="0"/>
              <w:contextualSpacing/>
              <w:jc w:val="center"/>
              <w:rPr>
                <w:b/>
                <w:color w:val="000000"/>
                <w:sz w:val="16"/>
                <w:szCs w:val="16"/>
              </w:rPr>
            </w:pPr>
            <w:r w:rsidRPr="00C23AD8">
              <w:rPr>
                <w:b/>
                <w:color w:val="000000"/>
                <w:sz w:val="16"/>
                <w:szCs w:val="16"/>
              </w:rPr>
              <w:t>2018</w:t>
            </w:r>
          </w:p>
        </w:tc>
        <w:tc>
          <w:tcPr>
            <w:gridSpan w:val="2"/>
            <w:shd w:val="clear" w:color="auto" w:fill="auto"/>
          </w:tcPr>
          <w:p w:rsidR="008D5009" w:rsidRPr="00C23AD8" w:rsidP="00426349">
            <w:pPr>
              <w:snapToGrid w:val="0"/>
              <w:spacing w:before="0" w:after="0"/>
              <w:contextualSpacing/>
              <w:jc w:val="center"/>
              <w:rPr>
                <w:b/>
                <w:color w:val="000000"/>
                <w:sz w:val="16"/>
                <w:szCs w:val="16"/>
              </w:rPr>
            </w:pPr>
            <w:r w:rsidRPr="00C23AD8">
              <w:rPr>
                <w:b/>
                <w:color w:val="000000"/>
                <w:sz w:val="16"/>
                <w:szCs w:val="16"/>
              </w:rPr>
              <w:t>2019</w:t>
            </w:r>
          </w:p>
        </w:tc>
        <w:tc>
          <w:tcPr>
            <w:gridSpan w:val="2"/>
            <w:shd w:val="clear" w:color="auto" w:fill="auto"/>
          </w:tcPr>
          <w:p w:rsidR="008D5009" w:rsidRPr="00C23AD8" w:rsidP="00426349">
            <w:pPr>
              <w:snapToGrid w:val="0"/>
              <w:spacing w:before="0" w:after="0"/>
              <w:contextualSpacing/>
              <w:jc w:val="center"/>
              <w:rPr>
                <w:b/>
                <w:color w:val="000000"/>
                <w:sz w:val="16"/>
                <w:szCs w:val="16"/>
              </w:rPr>
            </w:pPr>
            <w:r w:rsidRPr="00C23AD8">
              <w:rPr>
                <w:b/>
                <w:color w:val="000000"/>
                <w:sz w:val="16"/>
                <w:szCs w:val="16"/>
              </w:rPr>
              <w:t>2020</w:t>
            </w:r>
          </w:p>
        </w:tc>
        <w:tc>
          <w:tcPr>
            <w:gridSpan w:val="2"/>
            <w:shd w:val="clear" w:color="auto" w:fill="auto"/>
          </w:tcPr>
          <w:p w:rsidR="008D5009" w:rsidRPr="00804899" w:rsidP="00426349">
            <w:pPr>
              <w:snapToGrid w:val="0"/>
              <w:spacing w:before="0" w:after="0"/>
              <w:contextualSpacing/>
              <w:jc w:val="center"/>
              <w:rPr>
                <w:b/>
                <w:color w:val="000000"/>
                <w:sz w:val="16"/>
                <w:szCs w:val="16"/>
              </w:rPr>
            </w:pPr>
            <w:r w:rsidRPr="00804899">
              <w:rPr>
                <w:b/>
                <w:noProof/>
                <w:color w:val="000000"/>
                <w:sz w:val="16"/>
                <w:szCs w:val="16"/>
              </w:rPr>
              <w:t>Total</w:t>
            </w:r>
          </w:p>
        </w:tc>
      </w:tr>
      <w:tr w:rsidTr="00426349">
        <w:tblPrEx>
          <w:tblW w:w="5000" w:type="pct"/>
          <w:tblCellMar>
            <w:left w:w="68" w:type="dxa"/>
            <w:right w:w="68" w:type="dxa"/>
          </w:tblCellMar>
          <w:tblLook w:val="0020"/>
        </w:tblPrEx>
        <w:trPr>
          <w:trHeight w:val="288"/>
          <w:tblHeader/>
        </w:trPr>
        <w:tc>
          <w:tcPr>
            <w:vMerge/>
          </w:tcPr>
          <w:p w:rsidR="008D5009" w:rsidRPr="003173D3" w:rsidP="00426349">
            <w:pPr>
              <w:snapToGrid w:val="0"/>
              <w:spacing w:before="0" w:after="0"/>
              <w:contextualSpacing/>
              <w:jc w:val="center"/>
              <w:rPr>
                <w:b/>
                <w:color w:val="000000"/>
                <w:sz w:val="12"/>
                <w:szCs w:val="12"/>
              </w:rPr>
            </w:pPr>
          </w:p>
        </w:tc>
        <w:tc>
          <w:tcPr>
            <w:vMerge/>
            <w:shd w:val="clear" w:color="auto" w:fill="auto"/>
          </w:tcPr>
          <w:p w:rsidR="008D5009" w:rsidRPr="003173D3" w:rsidP="00426349">
            <w:pPr>
              <w:snapToGrid w:val="0"/>
              <w:spacing w:before="0" w:after="0"/>
              <w:contextualSpacing/>
              <w:jc w:val="center"/>
              <w:rPr>
                <w:b/>
                <w:color w:val="000000"/>
                <w:sz w:val="12"/>
                <w:szCs w:val="12"/>
              </w:rPr>
            </w:pP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Main allocation</w:t>
            </w:r>
          </w:p>
        </w:tc>
        <w:tc>
          <w:tcPr>
            <w:shd w:val="clear" w:color="auto" w:fill="auto"/>
          </w:tcPr>
          <w:p w:rsidR="008D5009" w:rsidRPr="003173D3" w:rsidP="00426349">
            <w:pPr>
              <w:snapToGrid w:val="0"/>
              <w:spacing w:before="0" w:after="0"/>
              <w:contextualSpacing/>
              <w:jc w:val="center"/>
              <w:rPr>
                <w:color w:val="000000"/>
                <w:sz w:val="12"/>
                <w:szCs w:val="12"/>
              </w:rPr>
            </w:pPr>
            <w:r w:rsidRPr="003173D3">
              <w:rPr>
                <w:noProof/>
                <w:color w:val="000000"/>
                <w:sz w:val="12"/>
                <w:szCs w:val="12"/>
              </w:rPr>
              <w:t>Performance reserve</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Main allocation</w:t>
            </w:r>
          </w:p>
        </w:tc>
        <w:tc>
          <w:tcPr>
            <w:shd w:val="clear" w:color="auto" w:fill="auto"/>
          </w:tcPr>
          <w:p w:rsidR="008D5009" w:rsidRPr="003173D3" w:rsidP="00426349">
            <w:pPr>
              <w:snapToGrid w:val="0"/>
              <w:spacing w:before="0" w:after="0"/>
              <w:contextualSpacing/>
              <w:jc w:val="center"/>
              <w:rPr>
                <w:color w:val="000000"/>
                <w:sz w:val="12"/>
                <w:szCs w:val="12"/>
              </w:rPr>
            </w:pPr>
            <w:r w:rsidRPr="003173D3">
              <w:rPr>
                <w:noProof/>
                <w:color w:val="000000"/>
                <w:sz w:val="12"/>
                <w:szCs w:val="12"/>
              </w:rPr>
              <w:t>Performance reserve</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Main allocation</w:t>
            </w:r>
          </w:p>
        </w:tc>
        <w:tc>
          <w:tcPr>
            <w:shd w:val="clear" w:color="auto" w:fill="auto"/>
          </w:tcPr>
          <w:p w:rsidR="008D5009" w:rsidRPr="003173D3" w:rsidP="00426349">
            <w:pPr>
              <w:snapToGrid w:val="0"/>
              <w:spacing w:before="0" w:after="0"/>
              <w:contextualSpacing/>
              <w:jc w:val="center"/>
              <w:rPr>
                <w:color w:val="000000"/>
                <w:sz w:val="12"/>
                <w:szCs w:val="12"/>
              </w:rPr>
            </w:pPr>
            <w:r w:rsidRPr="003173D3">
              <w:rPr>
                <w:noProof/>
                <w:color w:val="000000"/>
                <w:sz w:val="12"/>
                <w:szCs w:val="12"/>
              </w:rPr>
              <w:t>Performance reserve</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Main allocation</w:t>
            </w:r>
          </w:p>
        </w:tc>
        <w:tc>
          <w:tcPr>
            <w:shd w:val="clear" w:color="auto" w:fill="auto"/>
          </w:tcPr>
          <w:p w:rsidR="008D5009" w:rsidRPr="003173D3" w:rsidP="00426349">
            <w:pPr>
              <w:snapToGrid w:val="0"/>
              <w:spacing w:before="0" w:after="0"/>
              <w:contextualSpacing/>
              <w:jc w:val="center"/>
              <w:rPr>
                <w:color w:val="000000"/>
                <w:sz w:val="12"/>
                <w:szCs w:val="12"/>
              </w:rPr>
            </w:pPr>
            <w:r w:rsidRPr="003173D3">
              <w:rPr>
                <w:noProof/>
                <w:color w:val="000000"/>
                <w:sz w:val="12"/>
                <w:szCs w:val="12"/>
              </w:rPr>
              <w:t>Performance reserve</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Main allocation</w:t>
            </w:r>
          </w:p>
        </w:tc>
        <w:tc>
          <w:tcPr>
            <w:shd w:val="clear" w:color="auto" w:fill="auto"/>
          </w:tcPr>
          <w:p w:rsidR="008D5009" w:rsidRPr="003173D3" w:rsidP="00426349">
            <w:pPr>
              <w:snapToGrid w:val="0"/>
              <w:spacing w:before="0" w:after="0"/>
              <w:contextualSpacing/>
              <w:jc w:val="center"/>
              <w:rPr>
                <w:color w:val="000000"/>
                <w:sz w:val="12"/>
                <w:szCs w:val="12"/>
              </w:rPr>
            </w:pPr>
            <w:r w:rsidRPr="003173D3">
              <w:rPr>
                <w:noProof/>
                <w:color w:val="000000"/>
                <w:sz w:val="12"/>
                <w:szCs w:val="12"/>
              </w:rPr>
              <w:t>Performance reserve</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Main allocation</w:t>
            </w:r>
          </w:p>
        </w:tc>
        <w:tc>
          <w:tcPr>
            <w:shd w:val="clear" w:color="auto" w:fill="auto"/>
          </w:tcPr>
          <w:p w:rsidR="008D5009" w:rsidRPr="003173D3" w:rsidP="00426349">
            <w:pPr>
              <w:snapToGrid w:val="0"/>
              <w:spacing w:before="0" w:after="0"/>
              <w:contextualSpacing/>
              <w:jc w:val="center"/>
              <w:rPr>
                <w:color w:val="000000"/>
                <w:sz w:val="12"/>
                <w:szCs w:val="12"/>
              </w:rPr>
            </w:pPr>
            <w:r w:rsidRPr="003173D3">
              <w:rPr>
                <w:noProof/>
                <w:color w:val="000000"/>
                <w:sz w:val="12"/>
                <w:szCs w:val="12"/>
              </w:rPr>
              <w:t>Performance reserve</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Main allocation</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Performance reserve</w:t>
            </w:r>
          </w:p>
        </w:tc>
        <w:tc>
          <w:tcPr>
            <w:shd w:val="clear" w:color="auto" w:fill="auto"/>
          </w:tcPr>
          <w:p w:rsidR="008D5009" w:rsidRPr="003173D3" w:rsidP="00426349">
            <w:pPr>
              <w:snapToGrid w:val="0"/>
              <w:spacing w:before="0" w:after="0"/>
              <w:contextualSpacing/>
              <w:jc w:val="center"/>
              <w:rPr>
                <w:b/>
                <w:color w:val="000000"/>
                <w:sz w:val="12"/>
                <w:szCs w:val="12"/>
              </w:rPr>
            </w:pPr>
            <w:r w:rsidRPr="003173D3">
              <w:rPr>
                <w:noProof/>
                <w:color w:val="000000"/>
                <w:sz w:val="12"/>
                <w:szCs w:val="12"/>
              </w:rPr>
              <w:t>Main allocation</w:t>
            </w:r>
          </w:p>
        </w:tc>
        <w:tc>
          <w:tcPr>
            <w:shd w:val="clear" w:color="auto" w:fill="auto"/>
          </w:tcPr>
          <w:p w:rsidR="008D5009" w:rsidRPr="003173D3" w:rsidP="00426349">
            <w:pPr>
              <w:snapToGrid w:val="0"/>
              <w:spacing w:before="0" w:after="0"/>
              <w:contextualSpacing/>
              <w:jc w:val="center"/>
              <w:rPr>
                <w:color w:val="000000"/>
                <w:sz w:val="12"/>
                <w:szCs w:val="12"/>
              </w:rPr>
            </w:pPr>
            <w:r w:rsidRPr="003173D3">
              <w:rPr>
                <w:noProof/>
                <w:color w:val="000000"/>
                <w:sz w:val="12"/>
                <w:szCs w:val="12"/>
              </w:rPr>
              <w:t>Performance reserve</w:t>
            </w:r>
          </w:p>
        </w:tc>
      </w:tr>
      <w:tr w:rsidTr="00426349">
        <w:tblPrEx>
          <w:tblW w:w="5000" w:type="pct"/>
          <w:tblCellMar>
            <w:left w:w="68" w:type="dxa"/>
            <w:right w:w="68" w:type="dxa"/>
          </w:tblCellMar>
          <w:tblLook w:val="0020"/>
        </w:tblPrEx>
        <w:trPr>
          <w:trHeight w:val="170"/>
        </w:trPr>
        <w:tc>
          <w:tcPr/>
          <w:p w:rsidR="008D5009" w:rsidRPr="00493347" w:rsidP="00426349">
            <w:pPr>
              <w:snapToGrid w:val="0"/>
              <w:spacing w:before="0" w:after="0"/>
              <w:rPr>
                <w:sz w:val="8"/>
                <w:szCs w:val="8"/>
              </w:rPr>
            </w:pPr>
            <w:r w:rsidRPr="00493347">
              <w:rPr>
                <w:noProof/>
                <w:sz w:val="8"/>
                <w:szCs w:val="8"/>
              </w:rPr>
              <w:t>ERDF</w:t>
            </w:r>
          </w:p>
        </w:tc>
        <w:tc>
          <w:tcPr>
            <w:shd w:val="clear" w:color="auto" w:fill="auto"/>
          </w:tcPr>
          <w:p w:rsidR="008D5009" w:rsidRPr="00493347" w:rsidP="00426349">
            <w:pPr>
              <w:snapToGrid w:val="0"/>
              <w:spacing w:before="0" w:after="0"/>
              <w:rPr>
                <w:sz w:val="8"/>
                <w:szCs w:val="8"/>
              </w:rPr>
            </w:pPr>
            <w:r w:rsidRPr="00493347">
              <w:rPr>
                <w:noProof/>
                <w:sz w:val="8"/>
                <w:szCs w:val="8"/>
              </w:rPr>
              <w:t>Less developed</w:t>
            </w:r>
          </w:p>
        </w:tc>
        <w:tc>
          <w:tcPr>
            <w:shd w:val="clear" w:color="auto" w:fill="auto"/>
          </w:tcPr>
          <w:p w:rsidR="008D5009" w:rsidRPr="00493347" w:rsidP="00426349">
            <w:pPr>
              <w:snapToGrid w:val="0"/>
              <w:spacing w:before="0" w:after="0"/>
              <w:jc w:val="right"/>
              <w:rPr>
                <w:sz w:val="8"/>
                <w:szCs w:val="8"/>
              </w:rPr>
            </w:pPr>
            <w:r w:rsidRPr="00493347">
              <w:rPr>
                <w:noProof/>
                <w:sz w:val="8"/>
                <w:szCs w:val="8"/>
              </w:rPr>
              <w:t>119,417,536.00</w:t>
            </w:r>
          </w:p>
        </w:tc>
        <w:tc>
          <w:tcPr>
            <w:shd w:val="clear" w:color="auto" w:fill="auto"/>
          </w:tcPr>
          <w:p w:rsidR="008D5009" w:rsidRPr="00493347" w:rsidP="00426349">
            <w:pPr>
              <w:snapToGrid w:val="0"/>
              <w:spacing w:before="0" w:after="0"/>
              <w:jc w:val="right"/>
              <w:rPr>
                <w:sz w:val="8"/>
                <w:szCs w:val="8"/>
              </w:rPr>
            </w:pPr>
            <w:r w:rsidRPr="00493347">
              <w:rPr>
                <w:noProof/>
                <w:sz w:val="8"/>
                <w:szCs w:val="8"/>
              </w:rPr>
              <w:t>7,793,529.00</w:t>
            </w:r>
          </w:p>
        </w:tc>
        <w:tc>
          <w:tcPr>
            <w:shd w:val="clear" w:color="auto" w:fill="auto"/>
          </w:tcPr>
          <w:p w:rsidR="008D5009" w:rsidRPr="00493347" w:rsidP="00426349">
            <w:pPr>
              <w:spacing w:before="0" w:after="0"/>
              <w:jc w:val="right"/>
              <w:rPr>
                <w:sz w:val="8"/>
                <w:szCs w:val="8"/>
              </w:rPr>
            </w:pPr>
            <w:r w:rsidRPr="00493347">
              <w:rPr>
                <w:noProof/>
                <w:sz w:val="8"/>
                <w:szCs w:val="8"/>
              </w:rPr>
              <w:t>128,297,516.00</w:t>
            </w:r>
          </w:p>
        </w:tc>
        <w:tc>
          <w:tcPr>
            <w:shd w:val="clear" w:color="auto" w:fill="auto"/>
          </w:tcPr>
          <w:p w:rsidR="008D5009" w:rsidRPr="00493347" w:rsidP="00426349">
            <w:pPr>
              <w:spacing w:before="0" w:after="0"/>
              <w:jc w:val="right"/>
              <w:rPr>
                <w:sz w:val="8"/>
                <w:szCs w:val="8"/>
              </w:rPr>
            </w:pPr>
            <w:r w:rsidRPr="00493347">
              <w:rPr>
                <w:noProof/>
                <w:sz w:val="8"/>
                <w:szCs w:val="8"/>
              </w:rPr>
              <w:t>8,373,062.00</w:t>
            </w:r>
          </w:p>
        </w:tc>
        <w:tc>
          <w:tcPr>
            <w:shd w:val="clear" w:color="auto" w:fill="auto"/>
          </w:tcPr>
          <w:p w:rsidR="008D5009" w:rsidRPr="00493347" w:rsidP="00426349">
            <w:pPr>
              <w:spacing w:before="0" w:after="0"/>
              <w:jc w:val="right"/>
              <w:rPr>
                <w:sz w:val="8"/>
                <w:szCs w:val="8"/>
              </w:rPr>
            </w:pPr>
            <w:r w:rsidRPr="00493347">
              <w:rPr>
                <w:noProof/>
                <w:sz w:val="8"/>
                <w:szCs w:val="8"/>
              </w:rPr>
              <w:t>130,753,615.00</w:t>
            </w:r>
          </w:p>
        </w:tc>
        <w:tc>
          <w:tcPr>
            <w:shd w:val="clear" w:color="auto" w:fill="auto"/>
          </w:tcPr>
          <w:p w:rsidR="008D5009" w:rsidRPr="00493347" w:rsidP="00426349">
            <w:pPr>
              <w:spacing w:before="0" w:after="0"/>
              <w:jc w:val="right"/>
              <w:rPr>
                <w:sz w:val="8"/>
                <w:szCs w:val="8"/>
              </w:rPr>
            </w:pPr>
            <w:r w:rsidRPr="00493347">
              <w:rPr>
                <w:noProof/>
                <w:sz w:val="8"/>
                <w:szCs w:val="8"/>
              </w:rPr>
              <w:t>8,533,354.00</w:t>
            </w:r>
          </w:p>
        </w:tc>
        <w:tc>
          <w:tcPr>
            <w:shd w:val="clear" w:color="auto" w:fill="auto"/>
          </w:tcPr>
          <w:p w:rsidR="008D5009" w:rsidRPr="00493347" w:rsidP="00426349">
            <w:pPr>
              <w:spacing w:before="0" w:after="0"/>
              <w:jc w:val="right"/>
              <w:rPr>
                <w:sz w:val="8"/>
                <w:szCs w:val="8"/>
              </w:rPr>
            </w:pPr>
            <w:r w:rsidRPr="00493347">
              <w:rPr>
                <w:noProof/>
                <w:sz w:val="8"/>
                <w:szCs w:val="8"/>
              </w:rPr>
              <w:t>140,932,235.00</w:t>
            </w:r>
          </w:p>
        </w:tc>
        <w:tc>
          <w:tcPr>
            <w:shd w:val="clear" w:color="auto" w:fill="auto"/>
          </w:tcPr>
          <w:p w:rsidR="008D5009" w:rsidRPr="00493347" w:rsidP="00426349">
            <w:pPr>
              <w:spacing w:before="0" w:after="0"/>
              <w:jc w:val="right"/>
              <w:rPr>
                <w:sz w:val="8"/>
                <w:szCs w:val="8"/>
              </w:rPr>
            </w:pPr>
            <w:r w:rsidRPr="00493347">
              <w:rPr>
                <w:noProof/>
                <w:sz w:val="8"/>
                <w:szCs w:val="8"/>
              </w:rPr>
              <w:t>9,197,640.00</w:t>
            </w:r>
          </w:p>
        </w:tc>
        <w:tc>
          <w:tcPr>
            <w:shd w:val="clear" w:color="auto" w:fill="auto"/>
          </w:tcPr>
          <w:p w:rsidR="008D5009" w:rsidRPr="00493347" w:rsidP="00426349">
            <w:pPr>
              <w:spacing w:before="0" w:after="0"/>
              <w:jc w:val="right"/>
              <w:rPr>
                <w:sz w:val="8"/>
                <w:szCs w:val="8"/>
              </w:rPr>
            </w:pPr>
            <w:r w:rsidRPr="00493347">
              <w:rPr>
                <w:noProof/>
                <w:sz w:val="8"/>
                <w:szCs w:val="8"/>
              </w:rPr>
              <w:t>153,943,748.00</w:t>
            </w:r>
          </w:p>
        </w:tc>
        <w:tc>
          <w:tcPr>
            <w:shd w:val="clear" w:color="auto" w:fill="auto"/>
          </w:tcPr>
          <w:p w:rsidR="008D5009" w:rsidRPr="00493347" w:rsidP="00426349">
            <w:pPr>
              <w:spacing w:before="0" w:after="0"/>
              <w:jc w:val="right"/>
              <w:rPr>
                <w:sz w:val="8"/>
                <w:szCs w:val="8"/>
              </w:rPr>
            </w:pPr>
            <w:r w:rsidRPr="00493347">
              <w:rPr>
                <w:noProof/>
                <w:sz w:val="8"/>
                <w:szCs w:val="8"/>
              </w:rPr>
              <w:t>10,046,808.00</w:t>
            </w:r>
          </w:p>
        </w:tc>
        <w:tc>
          <w:tcPr>
            <w:shd w:val="clear" w:color="auto" w:fill="auto"/>
          </w:tcPr>
          <w:p w:rsidR="008D5009" w:rsidRPr="00493347" w:rsidP="00426349">
            <w:pPr>
              <w:spacing w:before="0" w:after="0"/>
              <w:jc w:val="right"/>
              <w:rPr>
                <w:sz w:val="8"/>
                <w:szCs w:val="8"/>
              </w:rPr>
            </w:pPr>
            <w:r w:rsidRPr="00493347">
              <w:rPr>
                <w:noProof/>
                <w:sz w:val="8"/>
                <w:szCs w:val="8"/>
              </w:rPr>
              <w:t>160,719,282.00</w:t>
            </w:r>
          </w:p>
        </w:tc>
        <w:tc>
          <w:tcPr>
            <w:shd w:val="clear" w:color="auto" w:fill="auto"/>
          </w:tcPr>
          <w:p w:rsidR="008D5009" w:rsidRPr="00493347" w:rsidP="00426349">
            <w:pPr>
              <w:spacing w:before="0" w:after="0"/>
              <w:jc w:val="right"/>
              <w:rPr>
                <w:sz w:val="8"/>
                <w:szCs w:val="8"/>
              </w:rPr>
            </w:pPr>
            <w:r>
              <w:rPr>
                <w:noProof/>
                <w:sz w:val="8"/>
                <w:szCs w:val="8"/>
              </w:rPr>
              <w:t>10,488,999.00</w:t>
            </w:r>
          </w:p>
        </w:tc>
        <w:tc>
          <w:tcPr>
            <w:shd w:val="clear" w:color="auto" w:fill="auto"/>
          </w:tcPr>
          <w:p w:rsidR="008D5009" w:rsidRPr="00493347" w:rsidP="00426349">
            <w:pPr>
              <w:spacing w:before="0" w:after="0"/>
              <w:jc w:val="right"/>
              <w:rPr>
                <w:sz w:val="8"/>
                <w:szCs w:val="8"/>
              </w:rPr>
            </w:pPr>
            <w:r w:rsidRPr="00493347">
              <w:rPr>
                <w:noProof/>
                <w:sz w:val="8"/>
                <w:szCs w:val="8"/>
              </w:rPr>
              <w:t>570,991,033.00</w:t>
            </w:r>
          </w:p>
        </w:tc>
        <w:tc>
          <w:tcPr>
            <w:shd w:val="clear" w:color="auto" w:fill="auto"/>
          </w:tcPr>
          <w:p w:rsidR="008D5009" w:rsidRPr="00493347" w:rsidP="00426349">
            <w:pPr>
              <w:spacing w:before="0" w:after="0"/>
              <w:jc w:val="right"/>
              <w:rPr>
                <w:sz w:val="8"/>
                <w:szCs w:val="8"/>
              </w:rPr>
            </w:pPr>
            <w:r w:rsidRPr="00493347">
              <w:rPr>
                <w:noProof/>
                <w:sz w:val="8"/>
                <w:szCs w:val="8"/>
              </w:rPr>
              <w:t>11,775,180.00</w:t>
            </w:r>
          </w:p>
        </w:tc>
        <w:tc>
          <w:tcPr>
            <w:shd w:val="clear" w:color="auto" w:fill="auto"/>
          </w:tcPr>
          <w:p w:rsidR="008D5009" w:rsidRPr="00493347" w:rsidP="00426349">
            <w:pPr>
              <w:spacing w:before="0" w:after="0"/>
              <w:jc w:val="right"/>
              <w:rPr>
                <w:sz w:val="8"/>
                <w:szCs w:val="8"/>
              </w:rPr>
            </w:pPr>
            <w:r w:rsidRPr="00493347">
              <w:rPr>
                <w:noProof/>
                <w:sz w:val="8"/>
                <w:szCs w:val="8"/>
              </w:rPr>
              <w:t>1,405,054,965.00</w:t>
            </w:r>
          </w:p>
        </w:tc>
        <w:tc>
          <w:tcPr>
            <w:shd w:val="clear" w:color="auto" w:fill="auto"/>
          </w:tcPr>
          <w:p w:rsidR="008D5009" w:rsidRPr="00493347" w:rsidP="00426349">
            <w:pPr>
              <w:spacing w:before="0" w:after="0"/>
              <w:jc w:val="right"/>
              <w:rPr>
                <w:sz w:val="8"/>
                <w:szCs w:val="8"/>
              </w:rPr>
            </w:pPr>
            <w:r w:rsidRPr="00493347">
              <w:rPr>
                <w:noProof/>
                <w:sz w:val="8"/>
                <w:szCs w:val="8"/>
              </w:rPr>
              <w:t>66,208,572.00</w:t>
            </w:r>
          </w:p>
        </w:tc>
      </w:tr>
      <w:tr w:rsidTr="00426349">
        <w:tblPrEx>
          <w:tblW w:w="5000" w:type="pct"/>
          <w:tblCellMar>
            <w:left w:w="68" w:type="dxa"/>
            <w:right w:w="68" w:type="dxa"/>
          </w:tblCellMar>
          <w:tblLook w:val="0020"/>
        </w:tblPrEx>
        <w:trPr>
          <w:trHeight w:val="170"/>
        </w:trPr>
        <w:tc>
          <w:tcPr/>
          <w:p w:rsidR="008D5009" w:rsidRPr="00493347" w:rsidP="00426349">
            <w:pPr>
              <w:snapToGrid w:val="0"/>
              <w:spacing w:before="0" w:after="0"/>
              <w:rPr>
                <w:sz w:val="8"/>
                <w:szCs w:val="8"/>
              </w:rPr>
            </w:pPr>
            <w:r w:rsidRPr="00493347">
              <w:rPr>
                <w:noProof/>
                <w:sz w:val="8"/>
                <w:szCs w:val="8"/>
              </w:rPr>
              <w:t>ERDF</w:t>
            </w:r>
          </w:p>
        </w:tc>
        <w:tc>
          <w:tcPr>
            <w:shd w:val="clear" w:color="auto" w:fill="auto"/>
          </w:tcPr>
          <w:p w:rsidR="008D5009" w:rsidRPr="00493347" w:rsidP="00426349">
            <w:pPr>
              <w:snapToGrid w:val="0"/>
              <w:spacing w:before="0" w:after="0"/>
              <w:rPr>
                <w:sz w:val="8"/>
                <w:szCs w:val="8"/>
              </w:rPr>
            </w:pPr>
            <w:r w:rsidRPr="00493347">
              <w:rPr>
                <w:noProof/>
                <w:sz w:val="8"/>
                <w:szCs w:val="8"/>
              </w:rPr>
              <w:t>More developed</w:t>
            </w:r>
          </w:p>
        </w:tc>
        <w:tc>
          <w:tcPr>
            <w:shd w:val="clear" w:color="auto" w:fill="auto"/>
          </w:tcPr>
          <w:p w:rsidR="008D5009" w:rsidRPr="00493347" w:rsidP="00426349">
            <w:pPr>
              <w:snapToGrid w:val="0"/>
              <w:spacing w:before="0" w:after="0"/>
              <w:jc w:val="right"/>
              <w:rPr>
                <w:sz w:val="8"/>
                <w:szCs w:val="8"/>
              </w:rPr>
            </w:pPr>
            <w:r w:rsidRPr="00493347">
              <w:rPr>
                <w:noProof/>
                <w:sz w:val="8"/>
                <w:szCs w:val="8"/>
              </w:rPr>
              <w:t>27,543,148.00</w:t>
            </w:r>
          </w:p>
        </w:tc>
        <w:tc>
          <w:tcPr>
            <w:shd w:val="clear" w:color="auto" w:fill="auto"/>
          </w:tcPr>
          <w:p w:rsidR="008D5009" w:rsidRPr="00493347" w:rsidP="00426349">
            <w:pPr>
              <w:snapToGrid w:val="0"/>
              <w:spacing w:before="0" w:after="0"/>
              <w:jc w:val="right"/>
              <w:rPr>
                <w:sz w:val="8"/>
                <w:szCs w:val="8"/>
              </w:rPr>
            </w:pPr>
            <w:r w:rsidRPr="00493347">
              <w:rPr>
                <w:noProof/>
                <w:sz w:val="8"/>
                <w:szCs w:val="8"/>
              </w:rPr>
              <w:t>1,777,414.00</w:t>
            </w:r>
          </w:p>
        </w:tc>
        <w:tc>
          <w:tcPr>
            <w:shd w:val="clear" w:color="auto" w:fill="auto"/>
          </w:tcPr>
          <w:p w:rsidR="008D5009" w:rsidRPr="00493347" w:rsidP="00426349">
            <w:pPr>
              <w:spacing w:before="0" w:after="0"/>
              <w:jc w:val="right"/>
              <w:rPr>
                <w:sz w:val="8"/>
                <w:szCs w:val="8"/>
              </w:rPr>
            </w:pPr>
            <w:r w:rsidRPr="00493347">
              <w:rPr>
                <w:noProof/>
                <w:sz w:val="8"/>
                <w:szCs w:val="8"/>
              </w:rPr>
              <w:t>29,591,277.00</w:t>
            </w:r>
          </w:p>
        </w:tc>
        <w:tc>
          <w:tcPr>
            <w:shd w:val="clear" w:color="auto" w:fill="auto"/>
          </w:tcPr>
          <w:p w:rsidR="008D5009" w:rsidRPr="00493347" w:rsidP="00426349">
            <w:pPr>
              <w:spacing w:before="0" w:after="0"/>
              <w:jc w:val="right"/>
              <w:rPr>
                <w:sz w:val="8"/>
                <w:szCs w:val="8"/>
              </w:rPr>
            </w:pPr>
            <w:r w:rsidRPr="00493347">
              <w:rPr>
                <w:noProof/>
                <w:sz w:val="8"/>
                <w:szCs w:val="8"/>
              </w:rPr>
              <w:t>1,909,584.00</w:t>
            </w:r>
          </w:p>
        </w:tc>
        <w:tc>
          <w:tcPr>
            <w:shd w:val="clear" w:color="auto" w:fill="auto"/>
          </w:tcPr>
          <w:p w:rsidR="008D5009" w:rsidRPr="00493347" w:rsidP="00426349">
            <w:pPr>
              <w:spacing w:before="0" w:after="0"/>
              <w:jc w:val="right"/>
              <w:rPr>
                <w:sz w:val="8"/>
                <w:szCs w:val="8"/>
              </w:rPr>
            </w:pPr>
            <w:r w:rsidRPr="00493347">
              <w:rPr>
                <w:noProof/>
                <w:sz w:val="8"/>
                <w:szCs w:val="8"/>
              </w:rPr>
              <w:t>30,157,766.00</w:t>
            </w:r>
          </w:p>
        </w:tc>
        <w:tc>
          <w:tcPr>
            <w:shd w:val="clear" w:color="auto" w:fill="auto"/>
          </w:tcPr>
          <w:p w:rsidR="008D5009" w:rsidRPr="00493347" w:rsidP="00426349">
            <w:pPr>
              <w:spacing w:before="0" w:after="0"/>
              <w:jc w:val="right"/>
              <w:rPr>
                <w:sz w:val="8"/>
                <w:szCs w:val="8"/>
              </w:rPr>
            </w:pPr>
            <w:r w:rsidRPr="00493347">
              <w:rPr>
                <w:noProof/>
                <w:sz w:val="8"/>
                <w:szCs w:val="8"/>
              </w:rPr>
              <w:t>1,946,141.00</w:t>
            </w:r>
          </w:p>
        </w:tc>
        <w:tc>
          <w:tcPr>
            <w:shd w:val="clear" w:color="auto" w:fill="auto"/>
          </w:tcPr>
          <w:p w:rsidR="008D5009" w:rsidRPr="00493347" w:rsidP="00426349">
            <w:pPr>
              <w:spacing w:before="0" w:after="0"/>
              <w:jc w:val="right"/>
              <w:rPr>
                <w:sz w:val="8"/>
                <w:szCs w:val="8"/>
              </w:rPr>
            </w:pPr>
            <w:r w:rsidRPr="00493347">
              <w:rPr>
                <w:noProof/>
                <w:sz w:val="8"/>
                <w:szCs w:val="8"/>
              </w:rPr>
              <w:t>32,505,422.00</w:t>
            </w:r>
          </w:p>
        </w:tc>
        <w:tc>
          <w:tcPr>
            <w:shd w:val="clear" w:color="auto" w:fill="auto"/>
          </w:tcPr>
          <w:p w:rsidR="008D5009" w:rsidRPr="00493347" w:rsidP="00426349">
            <w:pPr>
              <w:spacing w:before="0" w:after="0"/>
              <w:jc w:val="right"/>
              <w:rPr>
                <w:sz w:val="8"/>
                <w:szCs w:val="8"/>
              </w:rPr>
            </w:pPr>
            <w:r w:rsidRPr="00493347">
              <w:rPr>
                <w:noProof/>
                <w:sz w:val="8"/>
                <w:szCs w:val="8"/>
              </w:rPr>
              <w:t>2,097,640.00</w:t>
            </w:r>
          </w:p>
        </w:tc>
        <w:tc>
          <w:tcPr>
            <w:shd w:val="clear" w:color="auto" w:fill="auto"/>
          </w:tcPr>
          <w:p w:rsidR="008D5009" w:rsidRPr="00493347" w:rsidP="00426349">
            <w:pPr>
              <w:spacing w:before="0" w:after="0"/>
              <w:jc w:val="right"/>
              <w:rPr>
                <w:sz w:val="8"/>
                <w:szCs w:val="8"/>
              </w:rPr>
            </w:pPr>
            <w:r w:rsidRPr="00493347">
              <w:rPr>
                <w:noProof/>
                <w:sz w:val="8"/>
                <w:szCs w:val="8"/>
              </w:rPr>
              <w:t>35,506,474.00</w:t>
            </w:r>
          </w:p>
        </w:tc>
        <w:tc>
          <w:tcPr>
            <w:shd w:val="clear" w:color="auto" w:fill="auto"/>
          </w:tcPr>
          <w:p w:rsidR="008D5009" w:rsidRPr="00493347" w:rsidP="00426349">
            <w:pPr>
              <w:spacing w:before="0" w:after="0"/>
              <w:jc w:val="right"/>
              <w:rPr>
                <w:sz w:val="8"/>
                <w:szCs w:val="8"/>
              </w:rPr>
            </w:pPr>
            <w:r w:rsidRPr="00493347">
              <w:rPr>
                <w:noProof/>
                <w:sz w:val="8"/>
                <w:szCs w:val="8"/>
              </w:rPr>
              <w:t>2,291,302.00</w:t>
            </w:r>
          </w:p>
        </w:tc>
        <w:tc>
          <w:tcPr>
            <w:shd w:val="clear" w:color="auto" w:fill="auto"/>
          </w:tcPr>
          <w:p w:rsidR="008D5009" w:rsidRPr="00493347" w:rsidP="00426349">
            <w:pPr>
              <w:spacing w:before="0" w:after="0"/>
              <w:jc w:val="right"/>
              <w:rPr>
                <w:sz w:val="8"/>
                <w:szCs w:val="8"/>
              </w:rPr>
            </w:pPr>
            <w:r w:rsidRPr="00493347">
              <w:rPr>
                <w:noProof/>
                <w:sz w:val="8"/>
                <w:szCs w:val="8"/>
              </w:rPr>
              <w:t>37,069,220.00</w:t>
            </w:r>
          </w:p>
        </w:tc>
        <w:tc>
          <w:tcPr>
            <w:shd w:val="clear" w:color="auto" w:fill="auto"/>
          </w:tcPr>
          <w:p w:rsidR="008D5009" w:rsidRPr="00493347" w:rsidP="00426349">
            <w:pPr>
              <w:spacing w:before="0" w:after="0"/>
              <w:jc w:val="right"/>
              <w:rPr>
                <w:sz w:val="8"/>
                <w:szCs w:val="8"/>
              </w:rPr>
            </w:pPr>
            <w:r>
              <w:rPr>
                <w:noProof/>
                <w:sz w:val="8"/>
                <w:szCs w:val="8"/>
              </w:rPr>
              <w:t>2,392,151.00</w:t>
            </w:r>
          </w:p>
        </w:tc>
        <w:tc>
          <w:tcPr>
            <w:shd w:val="clear" w:color="auto" w:fill="auto"/>
          </w:tcPr>
          <w:p w:rsidR="008D5009" w:rsidRPr="00493347" w:rsidP="00426349">
            <w:pPr>
              <w:spacing w:before="0" w:after="0"/>
              <w:jc w:val="right"/>
              <w:rPr>
                <w:sz w:val="8"/>
                <w:szCs w:val="8"/>
              </w:rPr>
            </w:pPr>
            <w:r w:rsidRPr="00493347">
              <w:rPr>
                <w:noProof/>
                <w:sz w:val="8"/>
                <w:szCs w:val="8"/>
              </w:rPr>
              <w:t>151,050,677.00</w:t>
            </w:r>
          </w:p>
        </w:tc>
        <w:tc>
          <w:tcPr>
            <w:shd w:val="clear" w:color="auto" w:fill="auto"/>
          </w:tcPr>
          <w:p w:rsidR="008D5009" w:rsidRPr="00493347" w:rsidP="00426349">
            <w:pPr>
              <w:spacing w:before="0" w:after="0"/>
              <w:jc w:val="right"/>
              <w:rPr>
                <w:sz w:val="8"/>
                <w:szCs w:val="8"/>
              </w:rPr>
            </w:pPr>
            <w:r w:rsidRPr="00493347">
              <w:rPr>
                <w:noProof/>
                <w:sz w:val="8"/>
                <w:szCs w:val="8"/>
              </w:rPr>
              <w:t>2,685,481.00</w:t>
            </w:r>
          </w:p>
        </w:tc>
        <w:tc>
          <w:tcPr>
            <w:shd w:val="clear" w:color="auto" w:fill="auto"/>
          </w:tcPr>
          <w:p w:rsidR="008D5009" w:rsidRPr="00493347" w:rsidP="00426349">
            <w:pPr>
              <w:spacing w:before="0" w:after="0"/>
              <w:jc w:val="right"/>
              <w:rPr>
                <w:sz w:val="8"/>
                <w:szCs w:val="8"/>
              </w:rPr>
            </w:pPr>
            <w:r w:rsidRPr="00493347">
              <w:rPr>
                <w:noProof/>
                <w:sz w:val="8"/>
                <w:szCs w:val="8"/>
              </w:rPr>
              <w:t>343,423,984.00</w:t>
            </w:r>
          </w:p>
        </w:tc>
        <w:tc>
          <w:tcPr>
            <w:shd w:val="clear" w:color="auto" w:fill="auto"/>
          </w:tcPr>
          <w:p w:rsidR="008D5009" w:rsidRPr="00493347" w:rsidP="00426349">
            <w:pPr>
              <w:spacing w:before="0" w:after="0"/>
              <w:jc w:val="right"/>
              <w:rPr>
                <w:sz w:val="8"/>
                <w:szCs w:val="8"/>
              </w:rPr>
            </w:pPr>
            <w:r w:rsidRPr="00493347">
              <w:rPr>
                <w:noProof/>
                <w:sz w:val="8"/>
                <w:szCs w:val="8"/>
              </w:rPr>
              <w:t>15,099,713.00</w:t>
            </w:r>
          </w:p>
        </w:tc>
      </w:tr>
      <w:tr w:rsidTr="00426349">
        <w:tblPrEx>
          <w:tblW w:w="5000" w:type="pct"/>
          <w:tblCellMar>
            <w:left w:w="68" w:type="dxa"/>
            <w:right w:w="68" w:type="dxa"/>
          </w:tblCellMar>
          <w:tblLook w:val="0020"/>
        </w:tblPrEx>
        <w:trPr>
          <w:trHeight w:val="170"/>
        </w:trPr>
        <w:tc>
          <w:tcPr/>
          <w:p w:rsidR="008D5009" w:rsidRPr="00493347" w:rsidP="00426349">
            <w:pPr>
              <w:snapToGrid w:val="0"/>
              <w:spacing w:before="0" w:after="0"/>
              <w:rPr>
                <w:sz w:val="8"/>
                <w:szCs w:val="8"/>
              </w:rPr>
            </w:pPr>
            <w:r w:rsidRPr="00493347">
              <w:rPr>
                <w:b/>
                <w:noProof/>
                <w:sz w:val="8"/>
                <w:szCs w:val="8"/>
              </w:rPr>
              <w:t>Total</w:t>
            </w:r>
            <w:r w:rsidRPr="00493347">
              <w:rPr>
                <w:sz w:val="8"/>
                <w:szCs w:val="8"/>
              </w:rPr>
              <w:t xml:space="preserve"> </w:t>
            </w:r>
          </w:p>
        </w:tc>
        <w:tc>
          <w:tcPr>
            <w:shd w:val="clear" w:color="auto" w:fill="auto"/>
          </w:tcPr>
          <w:p w:rsidR="008D5009" w:rsidRPr="00493347" w:rsidP="00426349">
            <w:pPr>
              <w:snapToGrid w:val="0"/>
              <w:spacing w:before="0" w:after="0"/>
              <w:rPr>
                <w:sz w:val="8"/>
                <w:szCs w:val="8"/>
              </w:rPr>
            </w:pPr>
          </w:p>
        </w:tc>
        <w:tc>
          <w:tcPr>
            <w:shd w:val="clear" w:color="auto" w:fill="auto"/>
          </w:tcPr>
          <w:p w:rsidR="008D5009" w:rsidRPr="00493347" w:rsidP="00426349">
            <w:pPr>
              <w:snapToGrid w:val="0"/>
              <w:spacing w:before="0" w:after="0"/>
              <w:jc w:val="right"/>
              <w:rPr>
                <w:sz w:val="8"/>
                <w:szCs w:val="8"/>
              </w:rPr>
            </w:pPr>
            <w:r w:rsidRPr="00493347">
              <w:rPr>
                <w:b/>
                <w:noProof/>
                <w:sz w:val="8"/>
                <w:szCs w:val="8"/>
              </w:rPr>
              <w:t>146,960,684.00</w:t>
            </w:r>
          </w:p>
        </w:tc>
        <w:tc>
          <w:tcPr>
            <w:shd w:val="clear" w:color="auto" w:fill="auto"/>
          </w:tcPr>
          <w:p w:rsidR="008D5009" w:rsidRPr="00493347" w:rsidP="00426349">
            <w:pPr>
              <w:snapToGrid w:val="0"/>
              <w:spacing w:before="0" w:after="0"/>
              <w:jc w:val="right"/>
              <w:rPr>
                <w:sz w:val="8"/>
                <w:szCs w:val="8"/>
              </w:rPr>
            </w:pPr>
            <w:r w:rsidRPr="00493347">
              <w:rPr>
                <w:b/>
                <w:noProof/>
                <w:sz w:val="8"/>
                <w:szCs w:val="8"/>
              </w:rPr>
              <w:t>9,570,943.00</w:t>
            </w:r>
          </w:p>
        </w:tc>
        <w:tc>
          <w:tcPr>
            <w:shd w:val="clear" w:color="auto" w:fill="auto"/>
          </w:tcPr>
          <w:p w:rsidR="008D5009" w:rsidRPr="00493347" w:rsidP="00426349">
            <w:pPr>
              <w:spacing w:before="0" w:after="0"/>
              <w:jc w:val="right"/>
              <w:rPr>
                <w:sz w:val="8"/>
                <w:szCs w:val="8"/>
              </w:rPr>
            </w:pPr>
            <w:r w:rsidRPr="00493347">
              <w:rPr>
                <w:b/>
                <w:noProof/>
                <w:sz w:val="8"/>
                <w:szCs w:val="8"/>
              </w:rPr>
              <w:t>157,888,793.00</w:t>
            </w:r>
          </w:p>
        </w:tc>
        <w:tc>
          <w:tcPr>
            <w:shd w:val="clear" w:color="auto" w:fill="auto"/>
          </w:tcPr>
          <w:p w:rsidR="008D5009" w:rsidRPr="00493347" w:rsidP="00426349">
            <w:pPr>
              <w:spacing w:before="0" w:after="0"/>
              <w:jc w:val="right"/>
              <w:rPr>
                <w:sz w:val="8"/>
                <w:szCs w:val="8"/>
              </w:rPr>
            </w:pPr>
            <w:r w:rsidRPr="00493347">
              <w:rPr>
                <w:b/>
                <w:noProof/>
                <w:sz w:val="8"/>
                <w:szCs w:val="8"/>
              </w:rPr>
              <w:t>10,282,646.00</w:t>
            </w:r>
          </w:p>
        </w:tc>
        <w:tc>
          <w:tcPr>
            <w:shd w:val="clear" w:color="auto" w:fill="auto"/>
          </w:tcPr>
          <w:p w:rsidR="008D5009" w:rsidRPr="00493347" w:rsidP="00426349">
            <w:pPr>
              <w:spacing w:before="0" w:after="0"/>
              <w:jc w:val="right"/>
              <w:rPr>
                <w:sz w:val="8"/>
                <w:szCs w:val="8"/>
              </w:rPr>
            </w:pPr>
            <w:r w:rsidRPr="00493347">
              <w:rPr>
                <w:b/>
                <w:noProof/>
                <w:sz w:val="8"/>
                <w:szCs w:val="8"/>
              </w:rPr>
              <w:t>160,911,381.00</w:t>
            </w:r>
          </w:p>
        </w:tc>
        <w:tc>
          <w:tcPr>
            <w:shd w:val="clear" w:color="auto" w:fill="auto"/>
          </w:tcPr>
          <w:p w:rsidR="008D5009" w:rsidRPr="00493347" w:rsidP="00426349">
            <w:pPr>
              <w:spacing w:before="0" w:after="0"/>
              <w:jc w:val="right"/>
              <w:rPr>
                <w:sz w:val="8"/>
                <w:szCs w:val="8"/>
              </w:rPr>
            </w:pPr>
            <w:r w:rsidRPr="00493347">
              <w:rPr>
                <w:b/>
                <w:noProof/>
                <w:sz w:val="8"/>
                <w:szCs w:val="8"/>
              </w:rPr>
              <w:t>10,479,495.00</w:t>
            </w:r>
          </w:p>
        </w:tc>
        <w:tc>
          <w:tcPr>
            <w:shd w:val="clear" w:color="auto" w:fill="auto"/>
          </w:tcPr>
          <w:p w:rsidR="008D5009" w:rsidRPr="00493347" w:rsidP="00426349">
            <w:pPr>
              <w:spacing w:before="0" w:after="0"/>
              <w:jc w:val="right"/>
              <w:rPr>
                <w:sz w:val="8"/>
                <w:szCs w:val="8"/>
              </w:rPr>
            </w:pPr>
            <w:r w:rsidRPr="00493347">
              <w:rPr>
                <w:b/>
                <w:noProof/>
                <w:sz w:val="8"/>
                <w:szCs w:val="8"/>
              </w:rPr>
              <w:t>173,437,657.00</w:t>
            </w:r>
          </w:p>
        </w:tc>
        <w:tc>
          <w:tcPr>
            <w:shd w:val="clear" w:color="auto" w:fill="auto"/>
          </w:tcPr>
          <w:p w:rsidR="008D5009" w:rsidRPr="00493347" w:rsidP="00426349">
            <w:pPr>
              <w:spacing w:before="0" w:after="0"/>
              <w:jc w:val="right"/>
              <w:rPr>
                <w:sz w:val="8"/>
                <w:szCs w:val="8"/>
              </w:rPr>
            </w:pPr>
            <w:r w:rsidRPr="00493347">
              <w:rPr>
                <w:b/>
                <w:noProof/>
                <w:sz w:val="8"/>
                <w:szCs w:val="8"/>
              </w:rPr>
              <w:t>11,295,280.00</w:t>
            </w:r>
          </w:p>
        </w:tc>
        <w:tc>
          <w:tcPr>
            <w:shd w:val="clear" w:color="auto" w:fill="auto"/>
          </w:tcPr>
          <w:p w:rsidR="008D5009" w:rsidRPr="00493347" w:rsidP="00426349">
            <w:pPr>
              <w:spacing w:before="0" w:after="0"/>
              <w:jc w:val="right"/>
              <w:rPr>
                <w:sz w:val="8"/>
                <w:szCs w:val="8"/>
              </w:rPr>
            </w:pPr>
            <w:r w:rsidRPr="00493347">
              <w:rPr>
                <w:b/>
                <w:noProof/>
                <w:sz w:val="8"/>
                <w:szCs w:val="8"/>
              </w:rPr>
              <w:t>189,450,222.00</w:t>
            </w:r>
          </w:p>
        </w:tc>
        <w:tc>
          <w:tcPr>
            <w:shd w:val="clear" w:color="auto" w:fill="auto"/>
          </w:tcPr>
          <w:p w:rsidR="008D5009" w:rsidRPr="00493347" w:rsidP="00426349">
            <w:pPr>
              <w:spacing w:before="0" w:after="0"/>
              <w:jc w:val="right"/>
              <w:rPr>
                <w:sz w:val="8"/>
                <w:szCs w:val="8"/>
              </w:rPr>
            </w:pPr>
            <w:r w:rsidRPr="00493347">
              <w:rPr>
                <w:b/>
                <w:noProof/>
                <w:sz w:val="8"/>
                <w:szCs w:val="8"/>
              </w:rPr>
              <w:t>12,338,110.00</w:t>
            </w:r>
          </w:p>
        </w:tc>
        <w:tc>
          <w:tcPr>
            <w:shd w:val="clear" w:color="auto" w:fill="auto"/>
          </w:tcPr>
          <w:p w:rsidR="008D5009" w:rsidRPr="00493347" w:rsidP="00426349">
            <w:pPr>
              <w:spacing w:before="0" w:after="0"/>
              <w:jc w:val="right"/>
              <w:rPr>
                <w:sz w:val="8"/>
                <w:szCs w:val="8"/>
              </w:rPr>
            </w:pPr>
            <w:r w:rsidRPr="00493347">
              <w:rPr>
                <w:b/>
                <w:noProof/>
                <w:sz w:val="8"/>
                <w:szCs w:val="8"/>
              </w:rPr>
              <w:t>197,788,502.00</w:t>
            </w:r>
          </w:p>
        </w:tc>
        <w:tc>
          <w:tcPr>
            <w:shd w:val="clear" w:color="auto" w:fill="auto"/>
          </w:tcPr>
          <w:p w:rsidR="008D5009" w:rsidRPr="00493347" w:rsidP="00426349">
            <w:pPr>
              <w:spacing w:before="0" w:after="0"/>
              <w:jc w:val="right"/>
              <w:rPr>
                <w:sz w:val="8"/>
                <w:szCs w:val="8"/>
              </w:rPr>
            </w:pPr>
            <w:r w:rsidRPr="00493347">
              <w:rPr>
                <w:b/>
                <w:noProof/>
                <w:sz w:val="8"/>
                <w:szCs w:val="8"/>
              </w:rPr>
              <w:t>12,881,150.00</w:t>
            </w:r>
          </w:p>
        </w:tc>
        <w:tc>
          <w:tcPr>
            <w:shd w:val="clear" w:color="auto" w:fill="auto"/>
          </w:tcPr>
          <w:p w:rsidR="008D5009" w:rsidRPr="00493347" w:rsidP="00426349">
            <w:pPr>
              <w:spacing w:before="0" w:after="0"/>
              <w:jc w:val="right"/>
              <w:rPr>
                <w:sz w:val="8"/>
                <w:szCs w:val="8"/>
              </w:rPr>
            </w:pPr>
            <w:r w:rsidRPr="00493347">
              <w:rPr>
                <w:b/>
                <w:noProof/>
                <w:sz w:val="8"/>
                <w:szCs w:val="8"/>
              </w:rPr>
              <w:t>722,041,710.00</w:t>
            </w:r>
          </w:p>
        </w:tc>
        <w:tc>
          <w:tcPr>
            <w:shd w:val="clear" w:color="auto" w:fill="auto"/>
          </w:tcPr>
          <w:p w:rsidR="008D5009" w:rsidRPr="00493347" w:rsidP="00426349">
            <w:pPr>
              <w:spacing w:before="0" w:after="0"/>
              <w:jc w:val="right"/>
              <w:rPr>
                <w:sz w:val="8"/>
                <w:szCs w:val="8"/>
              </w:rPr>
            </w:pPr>
            <w:r w:rsidRPr="00493347">
              <w:rPr>
                <w:b/>
                <w:noProof/>
                <w:sz w:val="8"/>
                <w:szCs w:val="8"/>
              </w:rPr>
              <w:t>14,460,661.00</w:t>
            </w:r>
          </w:p>
        </w:tc>
        <w:tc>
          <w:tcPr>
            <w:shd w:val="clear" w:color="auto" w:fill="auto"/>
          </w:tcPr>
          <w:p w:rsidR="008D5009" w:rsidRPr="00493347" w:rsidP="00426349">
            <w:pPr>
              <w:spacing w:before="0" w:after="0"/>
              <w:jc w:val="right"/>
              <w:rPr>
                <w:sz w:val="8"/>
                <w:szCs w:val="8"/>
              </w:rPr>
            </w:pPr>
            <w:r w:rsidRPr="00493347">
              <w:rPr>
                <w:b/>
                <w:noProof/>
                <w:sz w:val="8"/>
                <w:szCs w:val="8"/>
              </w:rPr>
              <w:t>1,748,478,949.00</w:t>
            </w:r>
          </w:p>
        </w:tc>
        <w:tc>
          <w:tcPr>
            <w:shd w:val="clear" w:color="auto" w:fill="auto"/>
          </w:tcPr>
          <w:p w:rsidR="008D5009" w:rsidRPr="00493347" w:rsidP="00426349">
            <w:pPr>
              <w:spacing w:before="0" w:after="0"/>
              <w:jc w:val="right"/>
              <w:rPr>
                <w:sz w:val="8"/>
                <w:szCs w:val="8"/>
              </w:rPr>
            </w:pPr>
            <w:r w:rsidRPr="00493347">
              <w:rPr>
                <w:b/>
                <w:noProof/>
                <w:sz w:val="8"/>
                <w:szCs w:val="8"/>
              </w:rPr>
              <w:t>81,308,285.00</w:t>
            </w:r>
          </w:p>
        </w:tc>
      </w:tr>
    </w:tbl>
    <w:p w:rsidR="008D5009" w:rsidP="008D5009">
      <w:pPr>
        <w:keepNext/>
        <w:keepLines/>
        <w:spacing w:before="0" w:after="0"/>
        <w:rPr>
          <w:rFonts w:eastAsia="Arial Unicode MS"/>
          <w:b/>
        </w:rPr>
      </w:pPr>
    </w:p>
    <w:p w:rsidR="008D5009" w:rsidRPr="00391CD8" w:rsidP="00F24766">
      <w:pPr>
        <w:pStyle w:val="ManualHeading2"/>
        <w:rPr>
          <w:rFonts w:eastAsia="Arial Unicode MS"/>
        </w:rPr>
      </w:pPr>
      <w:bookmarkStart w:id="126" w:name="_Toc256000095"/>
      <w:r w:rsidRPr="00F24766">
        <w:rPr>
          <w:rFonts w:eastAsia="Arial Unicode MS"/>
          <w:noProof/>
        </w:rPr>
        <w:t>3.2 Total financial appropriation by fund and national co-financing (€)</w:t>
      </w:r>
      <w:bookmarkEnd w:id="126"/>
    </w:p>
    <w:p w:rsidR="008D5009" w:rsidRPr="00DC028E" w:rsidP="008D5009">
      <w:pPr>
        <w:keepNext/>
        <w:keepLines/>
        <w:spacing w:before="0" w:after="0"/>
        <w:rPr>
          <w:rFonts w:eastAsia="Arial Unicode MS"/>
        </w:rPr>
      </w:pPr>
    </w:p>
    <w:p w:rsidR="008D5009" w:rsidP="00F24766">
      <w:pPr>
        <w:pStyle w:val="ManualHeading2"/>
        <w:spacing w:before="0" w:after="0"/>
        <w:rPr>
          <w:rFonts w:eastAsia="Arial Unicode MS"/>
        </w:rPr>
      </w:pPr>
      <w:bookmarkStart w:id="127" w:name="_Toc256000096"/>
      <w:r w:rsidRPr="00391CD8">
        <w:rPr>
          <w:rFonts w:eastAsia="Arial Unicode MS"/>
          <w:noProof/>
        </w:rPr>
        <w:t>Table 18a: Financing plan</w:t>
      </w:r>
      <w:bookmarkEnd w:id="12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tblPr>
      <w:tblGrid>
        <w:gridCol w:w="562"/>
        <w:gridCol w:w="430"/>
        <w:gridCol w:w="657"/>
        <w:gridCol w:w="1327"/>
        <w:gridCol w:w="716"/>
        <w:gridCol w:w="769"/>
        <w:gridCol w:w="793"/>
        <w:gridCol w:w="819"/>
        <w:gridCol w:w="716"/>
        <w:gridCol w:w="736"/>
        <w:gridCol w:w="1831"/>
        <w:gridCol w:w="843"/>
        <w:gridCol w:w="831"/>
        <w:gridCol w:w="803"/>
        <w:gridCol w:w="616"/>
        <w:gridCol w:w="803"/>
        <w:gridCol w:w="1523"/>
      </w:tblGrid>
      <w:tr w:rsidTr="008E3A3F">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8" w:type="dxa"/>
            <w:right w:w="68" w:type="dxa"/>
          </w:tblCellMar>
          <w:tblLook w:val="04A0"/>
        </w:tblPrEx>
        <w:trPr>
          <w:trHeight w:val="283"/>
          <w:tblHeader/>
        </w:trPr>
        <w:tc>
          <w:tcPr>
            <w:vMerge w:val="restart"/>
            <w:shd w:val="clear" w:color="auto" w:fill="auto"/>
          </w:tcPr>
          <w:p w:rsidR="005A07CB" w:rsidRPr="00AF770A" w:rsidP="00426349">
            <w:pPr>
              <w:spacing w:before="0" w:after="0"/>
              <w:jc w:val="center"/>
              <w:rPr>
                <w:rFonts w:eastAsia="Arial Unicode MS"/>
                <w:b/>
                <w:color w:val="000000"/>
                <w:sz w:val="12"/>
                <w:szCs w:val="12"/>
              </w:rPr>
            </w:pPr>
            <w:r w:rsidRPr="00AF770A">
              <w:rPr>
                <w:b/>
                <w:noProof/>
                <w:color w:val="000000"/>
                <w:sz w:val="12"/>
                <w:szCs w:val="12"/>
              </w:rPr>
              <w:t>Priority axis</w:t>
            </w:r>
          </w:p>
        </w:tc>
        <w:tc>
          <w:tcPr>
            <w:vMerge w:val="restart"/>
            <w:shd w:val="clear" w:color="auto" w:fill="auto"/>
          </w:tcPr>
          <w:p w:rsidR="005A07CB" w:rsidRPr="00AF770A" w:rsidP="00426349">
            <w:pPr>
              <w:snapToGrid w:val="0"/>
              <w:spacing w:before="0" w:after="0"/>
              <w:contextualSpacing/>
              <w:jc w:val="center"/>
              <w:rPr>
                <w:b/>
                <w:color w:val="000000"/>
                <w:sz w:val="12"/>
                <w:szCs w:val="12"/>
              </w:rPr>
            </w:pPr>
            <w:r w:rsidRPr="00AF770A">
              <w:rPr>
                <w:b/>
                <w:noProof/>
                <w:color w:val="000000"/>
                <w:sz w:val="12"/>
                <w:szCs w:val="12"/>
              </w:rPr>
              <w:t>Fund</w:t>
            </w:r>
          </w:p>
        </w:tc>
        <w:tc>
          <w:tcPr>
            <w:vMerge w:val="restart"/>
            <w:shd w:val="clear" w:color="auto" w:fill="auto"/>
          </w:tcPr>
          <w:p w:rsidR="005A07CB" w:rsidRPr="00AF770A" w:rsidP="00426349">
            <w:pPr>
              <w:tabs>
                <w:tab w:val="left" w:pos="426"/>
              </w:tabs>
              <w:spacing w:before="0" w:after="0"/>
              <w:jc w:val="center"/>
              <w:rPr>
                <w:rFonts w:eastAsia="Arial Unicode MS"/>
                <w:b/>
                <w:color w:val="000000"/>
                <w:sz w:val="12"/>
                <w:szCs w:val="12"/>
              </w:rPr>
            </w:pPr>
            <w:r w:rsidRPr="00AF770A">
              <w:rPr>
                <w:b/>
                <w:noProof/>
                <w:color w:val="000000"/>
                <w:sz w:val="12"/>
                <w:szCs w:val="12"/>
              </w:rPr>
              <w:t>Category of region</w:t>
            </w:r>
          </w:p>
        </w:tc>
        <w:tc>
          <w:tcPr>
            <w:vMerge w:val="restart"/>
            <w:shd w:val="clear" w:color="auto" w:fill="auto"/>
          </w:tcPr>
          <w:p w:rsidR="005A07CB" w:rsidRPr="00AF770A" w:rsidP="00426349">
            <w:pPr>
              <w:tabs>
                <w:tab w:val="left" w:pos="426"/>
              </w:tabs>
              <w:spacing w:before="0" w:after="0"/>
              <w:jc w:val="center"/>
              <w:rPr>
                <w:b/>
                <w:color w:val="000000"/>
                <w:sz w:val="12"/>
                <w:szCs w:val="12"/>
              </w:rPr>
            </w:pPr>
            <w:r w:rsidRPr="00AF770A">
              <w:rPr>
                <w:b/>
                <w:noProof/>
                <w:color w:val="000000"/>
                <w:sz w:val="12"/>
                <w:szCs w:val="12"/>
              </w:rPr>
              <w:t>Basis for calculation of Union support</w:t>
            </w:r>
          </w:p>
          <w:p w:rsidR="005A07CB" w:rsidRPr="00AF770A" w:rsidP="00426349">
            <w:pPr>
              <w:tabs>
                <w:tab w:val="left" w:pos="426"/>
              </w:tabs>
              <w:spacing w:before="0" w:after="0"/>
              <w:jc w:val="center"/>
              <w:rPr>
                <w:b/>
                <w:color w:val="000000"/>
                <w:sz w:val="12"/>
                <w:szCs w:val="12"/>
              </w:rPr>
            </w:pPr>
            <w:r w:rsidRPr="00AF770A">
              <w:rPr>
                <w:b/>
                <w:noProof/>
                <w:color w:val="000000"/>
                <w:sz w:val="12"/>
                <w:szCs w:val="12"/>
              </w:rPr>
              <w:t>(Total eligible cost or public eligible cost)</w:t>
            </w:r>
          </w:p>
        </w:tc>
        <w:tc>
          <w:tcPr>
            <w:vMerge w:val="restart"/>
            <w:shd w:val="clear" w:color="auto" w:fill="auto"/>
          </w:tcPr>
          <w:p w:rsidR="005A07CB" w:rsidRPr="00AF770A" w:rsidP="00426349">
            <w:pPr>
              <w:tabs>
                <w:tab w:val="left" w:pos="426"/>
              </w:tabs>
              <w:spacing w:before="0" w:after="0"/>
              <w:jc w:val="center"/>
              <w:rPr>
                <w:b/>
                <w:color w:val="000000"/>
                <w:sz w:val="12"/>
                <w:szCs w:val="12"/>
              </w:rPr>
            </w:pPr>
            <w:r w:rsidRPr="00AF770A">
              <w:rPr>
                <w:b/>
                <w:noProof/>
                <w:color w:val="000000"/>
                <w:sz w:val="12"/>
                <w:szCs w:val="12"/>
              </w:rPr>
              <w:t>Union support</w:t>
            </w:r>
          </w:p>
          <w:p w:rsidR="005A07CB" w:rsidRPr="00AF770A" w:rsidP="00426349">
            <w:pPr>
              <w:tabs>
                <w:tab w:val="left" w:pos="426"/>
              </w:tabs>
              <w:spacing w:before="0" w:after="0"/>
              <w:jc w:val="center"/>
              <w:rPr>
                <w:rFonts w:eastAsia="Arial Unicode MS"/>
                <w:b/>
                <w:color w:val="000000"/>
                <w:sz w:val="12"/>
                <w:szCs w:val="12"/>
              </w:rPr>
            </w:pPr>
            <w:r w:rsidRPr="00AF770A">
              <w:rPr>
                <w:b/>
                <w:color w:val="000000"/>
                <w:sz w:val="12"/>
                <w:szCs w:val="12"/>
              </w:rPr>
              <w:t>(a)</w:t>
            </w:r>
          </w:p>
        </w:tc>
        <w:tc>
          <w:tcPr>
            <w:vMerge w:val="restart"/>
            <w:shd w:val="clear" w:color="auto" w:fill="auto"/>
          </w:tcPr>
          <w:p w:rsidR="005A07CB" w:rsidRPr="00AF770A" w:rsidP="00426349">
            <w:pPr>
              <w:tabs>
                <w:tab w:val="left" w:pos="426"/>
              </w:tabs>
              <w:spacing w:before="0" w:after="0"/>
              <w:jc w:val="center"/>
              <w:rPr>
                <w:b/>
                <w:color w:val="000000"/>
                <w:sz w:val="12"/>
                <w:szCs w:val="12"/>
              </w:rPr>
            </w:pPr>
            <w:r w:rsidRPr="00AF770A">
              <w:rPr>
                <w:b/>
                <w:noProof/>
                <w:color w:val="000000"/>
                <w:sz w:val="12"/>
                <w:szCs w:val="12"/>
              </w:rPr>
              <w:t>National counterpart</w:t>
            </w:r>
          </w:p>
          <w:p w:rsidR="005A07CB" w:rsidRPr="00AF770A" w:rsidP="00426349">
            <w:pPr>
              <w:tabs>
                <w:tab w:val="left" w:pos="426"/>
              </w:tabs>
              <w:spacing w:before="0" w:after="0"/>
              <w:jc w:val="center"/>
              <w:rPr>
                <w:rFonts w:eastAsia="Arial Unicode MS"/>
                <w:b/>
                <w:color w:val="000000"/>
                <w:sz w:val="12"/>
                <w:szCs w:val="12"/>
              </w:rPr>
            </w:pPr>
            <w:r w:rsidRPr="00AF770A">
              <w:rPr>
                <w:b/>
                <w:color w:val="000000"/>
                <w:sz w:val="12"/>
                <w:szCs w:val="12"/>
              </w:rPr>
              <w:t>(b) = (c) + (d)</w:t>
            </w:r>
          </w:p>
        </w:tc>
        <w:tc>
          <w:tcPr>
            <w:gridSpan w:val="2"/>
            <w:shd w:val="clear" w:color="auto" w:fill="auto"/>
          </w:tcPr>
          <w:p w:rsidR="005A07CB" w:rsidRPr="00AF770A" w:rsidP="00426349">
            <w:pPr>
              <w:tabs>
                <w:tab w:val="left" w:pos="426"/>
              </w:tabs>
              <w:spacing w:before="0" w:after="0"/>
              <w:jc w:val="center"/>
              <w:rPr>
                <w:rFonts w:eastAsia="Arial Unicode MS"/>
                <w:b/>
                <w:color w:val="000000"/>
                <w:sz w:val="12"/>
                <w:szCs w:val="12"/>
              </w:rPr>
            </w:pPr>
            <w:r w:rsidRPr="00AF770A">
              <w:rPr>
                <w:rFonts w:eastAsia="Arial Unicode MS"/>
                <w:b/>
                <w:noProof/>
                <w:color w:val="000000"/>
                <w:sz w:val="12"/>
                <w:szCs w:val="12"/>
              </w:rPr>
              <w:t>Indicative breakdown of national counterpart</w:t>
            </w:r>
          </w:p>
        </w:tc>
        <w:tc>
          <w:tcPr>
            <w:vMerge w:val="restart"/>
            <w:shd w:val="clear" w:color="auto" w:fill="auto"/>
          </w:tcPr>
          <w:p w:rsidR="005A07CB" w:rsidRPr="00AF770A" w:rsidP="00426349">
            <w:pPr>
              <w:tabs>
                <w:tab w:val="left" w:pos="426"/>
              </w:tabs>
              <w:spacing w:before="0" w:after="0"/>
              <w:jc w:val="center"/>
              <w:rPr>
                <w:b/>
                <w:color w:val="000000"/>
                <w:sz w:val="12"/>
                <w:szCs w:val="12"/>
              </w:rPr>
            </w:pPr>
            <w:r w:rsidRPr="00AF770A">
              <w:rPr>
                <w:b/>
                <w:noProof/>
                <w:color w:val="000000"/>
                <w:sz w:val="12"/>
                <w:szCs w:val="12"/>
              </w:rPr>
              <w:t>Total funding</w:t>
            </w:r>
          </w:p>
          <w:p w:rsidR="005A07CB" w:rsidRPr="00AF770A" w:rsidP="00426349">
            <w:pPr>
              <w:tabs>
                <w:tab w:val="left" w:pos="426"/>
              </w:tabs>
              <w:spacing w:before="0" w:after="0"/>
              <w:jc w:val="center"/>
              <w:rPr>
                <w:rFonts w:eastAsia="Arial Unicode MS"/>
                <w:b/>
                <w:color w:val="000000"/>
                <w:sz w:val="12"/>
                <w:szCs w:val="12"/>
                <w:lang w:val="pt-PT"/>
              </w:rPr>
            </w:pPr>
            <w:r w:rsidRPr="00AF770A">
              <w:rPr>
                <w:b/>
                <w:color w:val="000000"/>
                <w:sz w:val="12"/>
                <w:szCs w:val="12"/>
                <w:lang w:val="pt-PT"/>
              </w:rPr>
              <w:t>(e) = (a) + (b)</w:t>
            </w:r>
          </w:p>
        </w:tc>
        <w:tc>
          <w:tcPr>
            <w:vMerge w:val="restart"/>
            <w:shd w:val="clear" w:color="auto" w:fill="auto"/>
          </w:tcPr>
          <w:p w:rsidR="005A07CB" w:rsidRPr="00AF770A" w:rsidP="00426349">
            <w:pPr>
              <w:tabs>
                <w:tab w:val="left" w:pos="426"/>
              </w:tabs>
              <w:spacing w:before="0" w:after="0"/>
              <w:jc w:val="center"/>
              <w:rPr>
                <w:b/>
                <w:color w:val="000000"/>
                <w:sz w:val="12"/>
                <w:szCs w:val="12"/>
                <w:lang w:val="pt-PT"/>
              </w:rPr>
            </w:pPr>
            <w:r w:rsidRPr="00AF770A">
              <w:rPr>
                <w:b/>
                <w:noProof/>
                <w:color w:val="000000"/>
                <w:sz w:val="12"/>
                <w:szCs w:val="12"/>
                <w:lang w:val="pt-PT"/>
              </w:rPr>
              <w:t>Co-financing rate</w:t>
            </w:r>
          </w:p>
          <w:p w:rsidR="005A07CB" w:rsidRPr="00AF770A" w:rsidP="00426349">
            <w:pPr>
              <w:tabs>
                <w:tab w:val="left" w:pos="426"/>
              </w:tabs>
              <w:spacing w:before="0" w:after="0"/>
              <w:jc w:val="center"/>
              <w:rPr>
                <w:rFonts w:eastAsia="Arial Unicode MS"/>
                <w:b/>
                <w:color w:val="000000"/>
                <w:sz w:val="12"/>
                <w:szCs w:val="12"/>
              </w:rPr>
            </w:pPr>
            <w:r w:rsidRPr="00AF770A">
              <w:rPr>
                <w:b/>
                <w:color w:val="000000"/>
                <w:sz w:val="12"/>
                <w:szCs w:val="12"/>
              </w:rPr>
              <w:t>(f)  = (a) / (e) (2)</w:t>
            </w:r>
          </w:p>
        </w:tc>
        <w:tc>
          <w:tcPr>
            <w:vMerge w:val="restart"/>
          </w:tcPr>
          <w:p w:rsidR="005A07CB" w:rsidRPr="009A1D71" w:rsidP="0064318A">
            <w:pPr>
              <w:tabs>
                <w:tab w:val="left" w:pos="426"/>
              </w:tabs>
              <w:spacing w:before="0" w:after="0"/>
              <w:jc w:val="center"/>
              <w:rPr>
                <w:rFonts w:ascii="Arial Narrow" w:hAnsi="Arial Narrow" w:cs="Arial"/>
                <w:b/>
                <w:color w:val="000000"/>
                <w:sz w:val="12"/>
                <w:szCs w:val="12"/>
              </w:rPr>
            </w:pPr>
            <w:r>
              <w:rPr>
                <w:rFonts w:ascii="Arial Narrow" w:hAnsi="Arial Narrow" w:cs="Arial"/>
                <w:b/>
                <w:noProof/>
                <w:color w:val="000000"/>
                <w:sz w:val="12"/>
                <w:szCs w:val="12"/>
              </w:rPr>
              <w:t>100% CO-FINANCING RATE FOR ACCOUNTING YEAR 2020-2021 (3)</w:t>
            </w:r>
          </w:p>
          <w:p w:rsidR="005A07CB" w:rsidRPr="00AF770A" w:rsidP="00030008">
            <w:pPr>
              <w:tabs>
                <w:tab w:val="left" w:pos="426"/>
              </w:tabs>
              <w:spacing w:before="0" w:after="0"/>
              <w:rPr>
                <w:b/>
                <w:color w:val="000000"/>
                <w:sz w:val="12"/>
                <w:szCs w:val="12"/>
              </w:rPr>
            </w:pPr>
          </w:p>
        </w:tc>
        <w:tc>
          <w:tcPr>
            <w:vMerge w:val="restart"/>
          </w:tcPr>
          <w:p w:rsidR="005A07CB" w:rsidRPr="00AF770A" w:rsidP="00426349">
            <w:pPr>
              <w:tabs>
                <w:tab w:val="left" w:pos="426"/>
              </w:tabs>
              <w:spacing w:before="0" w:after="0"/>
              <w:jc w:val="center"/>
              <w:rPr>
                <w:rFonts w:eastAsia="Arial Unicode MS"/>
                <w:b/>
                <w:color w:val="000000"/>
                <w:sz w:val="12"/>
                <w:szCs w:val="12"/>
              </w:rPr>
            </w:pPr>
            <w:r w:rsidRPr="00AF770A">
              <w:rPr>
                <w:b/>
                <w:noProof/>
                <w:color w:val="000000"/>
                <w:sz w:val="12"/>
                <w:szCs w:val="12"/>
              </w:rPr>
              <w:t>EIB contributions</w:t>
            </w:r>
            <w:r w:rsidRPr="00AF770A">
              <w:rPr>
                <w:b/>
                <w:color w:val="000000"/>
                <w:sz w:val="12"/>
                <w:szCs w:val="12"/>
              </w:rPr>
              <w:t xml:space="preserve"> (g)</w:t>
            </w:r>
          </w:p>
        </w:tc>
        <w:tc>
          <w:tcPr>
            <w:gridSpan w:val="2"/>
            <w:shd w:val="clear" w:color="auto" w:fill="auto"/>
          </w:tcPr>
          <w:p w:rsidR="005A07CB" w:rsidRPr="00AF770A" w:rsidP="00426349">
            <w:pPr>
              <w:spacing w:before="0" w:after="0"/>
              <w:jc w:val="center"/>
              <w:rPr>
                <w:b/>
                <w:color w:val="000000"/>
                <w:sz w:val="12"/>
                <w:szCs w:val="12"/>
              </w:rPr>
            </w:pPr>
            <w:r w:rsidRPr="00AF770A">
              <w:rPr>
                <w:b/>
                <w:noProof/>
                <w:color w:val="000000"/>
                <w:sz w:val="12"/>
                <w:szCs w:val="12"/>
              </w:rPr>
              <w:t>Main allocation</w:t>
            </w:r>
            <w:r w:rsidRPr="00AF770A">
              <w:rPr>
                <w:b/>
                <w:color w:val="000000"/>
                <w:sz w:val="12"/>
                <w:szCs w:val="12"/>
              </w:rPr>
              <w:t xml:space="preserve"> </w:t>
            </w:r>
          </w:p>
        </w:tc>
        <w:tc>
          <w:tcPr>
            <w:gridSpan w:val="2"/>
          </w:tcPr>
          <w:p w:rsidR="005A07CB" w:rsidRPr="00AF770A" w:rsidP="00426349">
            <w:pPr>
              <w:spacing w:before="0" w:after="0"/>
              <w:jc w:val="center"/>
              <w:rPr>
                <w:b/>
                <w:color w:val="000000"/>
                <w:sz w:val="12"/>
                <w:szCs w:val="12"/>
              </w:rPr>
            </w:pPr>
            <w:r w:rsidRPr="00AF770A">
              <w:rPr>
                <w:b/>
                <w:noProof/>
                <w:color w:val="000000"/>
                <w:sz w:val="12"/>
                <w:szCs w:val="12"/>
              </w:rPr>
              <w:t>Performance reserve</w:t>
            </w:r>
          </w:p>
        </w:tc>
        <w:tc>
          <w:tcPr/>
          <w:p w:rsidR="005A07CB" w:rsidRPr="00AF770A" w:rsidP="00426349">
            <w:pPr>
              <w:spacing w:before="0" w:after="0"/>
              <w:jc w:val="center"/>
              <w:rPr>
                <w:b/>
                <w:color w:val="000000"/>
                <w:sz w:val="12"/>
                <w:szCs w:val="12"/>
              </w:rPr>
            </w:pPr>
            <w:r w:rsidRPr="00AF770A">
              <w:rPr>
                <w:b/>
                <w:noProof/>
                <w:color w:val="000000"/>
                <w:sz w:val="12"/>
                <w:szCs w:val="12"/>
              </w:rPr>
              <w:t>Performance reserve amount as proportion of total Union support</w:t>
            </w:r>
          </w:p>
        </w:tc>
      </w:tr>
      <w:tr w:rsidTr="008E3A3F">
        <w:tblPrEx>
          <w:tblW w:w="5000" w:type="pct"/>
          <w:tblCellMar>
            <w:left w:w="68" w:type="dxa"/>
            <w:right w:w="68" w:type="dxa"/>
          </w:tblCellMar>
          <w:tblLook w:val="04A0"/>
        </w:tblPrEx>
        <w:trPr>
          <w:trHeight w:val="510"/>
          <w:tblHeader/>
        </w:trPr>
        <w:tc>
          <w:tcPr>
            <w:vMerge/>
            <w:shd w:val="clear" w:color="auto" w:fill="auto"/>
          </w:tcPr>
          <w:p w:rsidR="005A07CB" w:rsidRPr="00C23AD8" w:rsidP="00426349">
            <w:pPr>
              <w:spacing w:before="0" w:after="0"/>
              <w:jc w:val="center"/>
              <w:rPr>
                <w:b/>
                <w:color w:val="000000"/>
                <w:sz w:val="16"/>
                <w:szCs w:val="16"/>
              </w:rPr>
            </w:pPr>
          </w:p>
        </w:tc>
        <w:tc>
          <w:tcPr>
            <w:vMerge/>
            <w:shd w:val="clear" w:color="auto" w:fill="auto"/>
          </w:tcPr>
          <w:p w:rsidR="005A07CB" w:rsidRPr="00C23AD8" w:rsidP="00426349">
            <w:pPr>
              <w:tabs>
                <w:tab w:val="left" w:pos="426"/>
              </w:tabs>
              <w:spacing w:before="0" w:after="0"/>
              <w:jc w:val="center"/>
              <w:rPr>
                <w:b/>
                <w:color w:val="000000"/>
                <w:sz w:val="16"/>
                <w:szCs w:val="16"/>
              </w:rPr>
            </w:pPr>
          </w:p>
        </w:tc>
        <w:tc>
          <w:tcPr>
            <w:vMerge/>
            <w:shd w:val="clear" w:color="auto" w:fill="auto"/>
          </w:tcPr>
          <w:p w:rsidR="005A07CB" w:rsidRPr="00C23AD8" w:rsidP="00426349">
            <w:pPr>
              <w:tabs>
                <w:tab w:val="left" w:pos="426"/>
              </w:tabs>
              <w:spacing w:before="0" w:after="0"/>
              <w:jc w:val="center"/>
              <w:rPr>
                <w:b/>
                <w:color w:val="000000"/>
                <w:sz w:val="16"/>
                <w:szCs w:val="16"/>
              </w:rPr>
            </w:pPr>
          </w:p>
        </w:tc>
        <w:tc>
          <w:tcPr>
            <w:vMerge/>
            <w:shd w:val="clear" w:color="auto" w:fill="auto"/>
          </w:tcPr>
          <w:p w:rsidR="005A07CB" w:rsidRPr="00C23AD8" w:rsidP="00426349">
            <w:pPr>
              <w:tabs>
                <w:tab w:val="left" w:pos="426"/>
              </w:tabs>
              <w:spacing w:before="0" w:after="0"/>
              <w:jc w:val="center"/>
              <w:rPr>
                <w:b/>
                <w:color w:val="000000"/>
                <w:sz w:val="16"/>
                <w:szCs w:val="16"/>
              </w:rPr>
            </w:pPr>
          </w:p>
        </w:tc>
        <w:tc>
          <w:tcPr>
            <w:vMerge/>
            <w:shd w:val="clear" w:color="auto" w:fill="auto"/>
          </w:tcPr>
          <w:p w:rsidR="005A07CB" w:rsidRPr="00C23AD8" w:rsidP="00426349">
            <w:pPr>
              <w:tabs>
                <w:tab w:val="left" w:pos="426"/>
              </w:tabs>
              <w:spacing w:before="0" w:after="0"/>
              <w:jc w:val="center"/>
              <w:rPr>
                <w:b/>
                <w:color w:val="000000"/>
                <w:sz w:val="16"/>
                <w:szCs w:val="16"/>
              </w:rPr>
            </w:pPr>
          </w:p>
        </w:tc>
        <w:tc>
          <w:tcPr>
            <w:vMerge/>
            <w:shd w:val="clear" w:color="auto" w:fill="auto"/>
          </w:tcPr>
          <w:p w:rsidR="005A07CB" w:rsidRPr="00C23AD8" w:rsidP="00426349">
            <w:pPr>
              <w:tabs>
                <w:tab w:val="left" w:pos="426"/>
              </w:tabs>
              <w:spacing w:before="0" w:after="0"/>
              <w:jc w:val="center"/>
              <w:rPr>
                <w:b/>
                <w:color w:val="000000"/>
                <w:sz w:val="16"/>
                <w:szCs w:val="16"/>
              </w:rPr>
            </w:pPr>
          </w:p>
        </w:tc>
        <w:tc>
          <w:tcPr>
            <w:shd w:val="clear" w:color="auto" w:fill="auto"/>
          </w:tcPr>
          <w:p w:rsidR="005A07CB" w:rsidRPr="00AF770A" w:rsidP="00426349">
            <w:pPr>
              <w:tabs>
                <w:tab w:val="left" w:pos="426"/>
              </w:tabs>
              <w:spacing w:before="0" w:after="0"/>
              <w:jc w:val="center"/>
              <w:rPr>
                <w:b/>
                <w:color w:val="000000"/>
                <w:sz w:val="12"/>
                <w:szCs w:val="12"/>
              </w:rPr>
            </w:pPr>
            <w:r w:rsidRPr="00AF770A">
              <w:rPr>
                <w:b/>
                <w:noProof/>
                <w:color w:val="000000"/>
                <w:sz w:val="12"/>
                <w:szCs w:val="12"/>
              </w:rPr>
              <w:t>National public funding</w:t>
            </w:r>
          </w:p>
          <w:p w:rsidR="005A07CB" w:rsidRPr="00AF770A" w:rsidP="00426349">
            <w:pPr>
              <w:tabs>
                <w:tab w:val="left" w:pos="426"/>
              </w:tabs>
              <w:spacing w:before="0" w:after="0"/>
              <w:jc w:val="center"/>
              <w:rPr>
                <w:b/>
                <w:color w:val="000000"/>
                <w:sz w:val="12"/>
                <w:szCs w:val="12"/>
              </w:rPr>
            </w:pPr>
            <w:r w:rsidRPr="00AF770A">
              <w:rPr>
                <w:b/>
                <w:color w:val="000000"/>
                <w:sz w:val="12"/>
                <w:szCs w:val="12"/>
              </w:rPr>
              <w:t>(c )</w:t>
            </w:r>
          </w:p>
        </w:tc>
        <w:tc>
          <w:tcPr>
            <w:shd w:val="clear" w:color="auto" w:fill="auto"/>
          </w:tcPr>
          <w:p w:rsidR="005A07CB" w:rsidRPr="00AF770A" w:rsidP="00426349">
            <w:pPr>
              <w:spacing w:before="0" w:after="0"/>
              <w:jc w:val="center"/>
              <w:rPr>
                <w:b/>
                <w:color w:val="000000"/>
                <w:sz w:val="12"/>
                <w:szCs w:val="12"/>
              </w:rPr>
            </w:pPr>
            <w:r w:rsidRPr="00AF770A">
              <w:rPr>
                <w:b/>
                <w:noProof/>
                <w:color w:val="000000"/>
                <w:sz w:val="12"/>
                <w:szCs w:val="12"/>
              </w:rPr>
              <w:t>National private funding</w:t>
            </w:r>
          </w:p>
          <w:p w:rsidR="005A07CB" w:rsidRPr="00AF770A" w:rsidP="00426349">
            <w:pPr>
              <w:tabs>
                <w:tab w:val="left" w:pos="426"/>
              </w:tabs>
              <w:spacing w:before="0" w:after="0"/>
              <w:jc w:val="center"/>
              <w:rPr>
                <w:b/>
                <w:color w:val="000000"/>
                <w:sz w:val="12"/>
                <w:szCs w:val="12"/>
              </w:rPr>
            </w:pPr>
            <w:r w:rsidRPr="00AF770A">
              <w:rPr>
                <w:b/>
                <w:color w:val="000000"/>
                <w:sz w:val="12"/>
                <w:szCs w:val="12"/>
              </w:rPr>
              <w:t>(d) (1)</w:t>
            </w:r>
          </w:p>
        </w:tc>
        <w:tc>
          <w:tcPr>
            <w:vMerge/>
            <w:shd w:val="clear" w:color="auto" w:fill="auto"/>
          </w:tcPr>
          <w:p w:rsidR="005A07CB" w:rsidRPr="00C23AD8" w:rsidP="00426349">
            <w:pPr>
              <w:tabs>
                <w:tab w:val="left" w:pos="426"/>
              </w:tabs>
              <w:spacing w:before="0" w:after="0"/>
              <w:jc w:val="center"/>
              <w:rPr>
                <w:b/>
                <w:color w:val="000000"/>
                <w:sz w:val="16"/>
                <w:szCs w:val="16"/>
              </w:rPr>
            </w:pPr>
          </w:p>
        </w:tc>
        <w:tc>
          <w:tcPr>
            <w:vMerge/>
            <w:shd w:val="clear" w:color="auto" w:fill="auto"/>
          </w:tcPr>
          <w:p w:rsidR="005A07CB" w:rsidRPr="00C23AD8" w:rsidP="00426349">
            <w:pPr>
              <w:tabs>
                <w:tab w:val="left" w:pos="426"/>
              </w:tabs>
              <w:spacing w:before="0" w:after="0"/>
              <w:jc w:val="center"/>
              <w:rPr>
                <w:b/>
                <w:color w:val="000000"/>
                <w:sz w:val="16"/>
                <w:szCs w:val="16"/>
              </w:rPr>
            </w:pPr>
          </w:p>
        </w:tc>
        <w:tc>
          <w:tcPr>
            <w:vMerge/>
          </w:tcPr>
          <w:p w:rsidR="005A07CB" w:rsidRPr="00AA1B27" w:rsidP="00426349">
            <w:pPr>
              <w:spacing w:before="0" w:after="0"/>
              <w:jc w:val="center"/>
              <w:rPr>
                <w:b/>
                <w:color w:val="000000"/>
                <w:sz w:val="14"/>
                <w:szCs w:val="14"/>
              </w:rPr>
            </w:pPr>
          </w:p>
        </w:tc>
        <w:tc>
          <w:tcPr>
            <w:vMerge/>
          </w:tcPr>
          <w:p w:rsidR="005A07CB" w:rsidRPr="00AA1B27" w:rsidP="00426349">
            <w:pPr>
              <w:spacing w:before="0" w:after="0"/>
              <w:jc w:val="center"/>
              <w:rPr>
                <w:b/>
                <w:color w:val="000000"/>
                <w:sz w:val="14"/>
                <w:szCs w:val="14"/>
              </w:rPr>
            </w:pPr>
          </w:p>
        </w:tc>
        <w:tc>
          <w:tcPr>
            <w:shd w:val="clear" w:color="auto" w:fill="auto"/>
          </w:tcPr>
          <w:p w:rsidR="005A07CB" w:rsidRPr="00AF770A" w:rsidP="00426349">
            <w:pPr>
              <w:tabs>
                <w:tab w:val="left" w:pos="426"/>
              </w:tabs>
              <w:spacing w:before="0" w:after="0"/>
              <w:jc w:val="center"/>
              <w:rPr>
                <w:b/>
                <w:color w:val="000000"/>
                <w:sz w:val="12"/>
                <w:szCs w:val="12"/>
                <w:lang w:val="pt-PT"/>
              </w:rPr>
            </w:pPr>
            <w:r w:rsidRPr="00AF770A">
              <w:rPr>
                <w:b/>
                <w:noProof/>
                <w:color w:val="000000"/>
                <w:sz w:val="12"/>
                <w:szCs w:val="12"/>
                <w:lang w:val="pt-PT"/>
              </w:rPr>
              <w:t>Union support</w:t>
            </w:r>
            <w:r w:rsidRPr="00AF770A">
              <w:rPr>
                <w:b/>
                <w:color w:val="000000"/>
                <w:sz w:val="12"/>
                <w:szCs w:val="12"/>
                <w:lang w:val="pt-PT"/>
              </w:rPr>
              <w:t xml:space="preserve"> </w:t>
            </w:r>
            <w:r w:rsidRPr="00AF770A">
              <w:rPr>
                <w:b/>
                <w:sz w:val="12"/>
                <w:szCs w:val="12"/>
                <w:lang w:val="pt-PT"/>
              </w:rPr>
              <w:t>(h) = (a) - (j)</w:t>
            </w:r>
          </w:p>
        </w:tc>
        <w:tc>
          <w:tcPr>
            <w:shd w:val="clear" w:color="auto" w:fill="auto"/>
          </w:tcPr>
          <w:p w:rsidR="005A07CB" w:rsidRPr="00AF770A" w:rsidP="00426349">
            <w:pPr>
              <w:spacing w:before="0" w:after="0"/>
              <w:jc w:val="center"/>
              <w:rPr>
                <w:b/>
                <w:color w:val="000000"/>
                <w:sz w:val="12"/>
                <w:szCs w:val="12"/>
                <w:lang w:val="pt-PT"/>
              </w:rPr>
            </w:pPr>
            <w:r w:rsidRPr="00AF770A">
              <w:rPr>
                <w:b/>
                <w:noProof/>
                <w:color w:val="000000"/>
                <w:sz w:val="12"/>
                <w:szCs w:val="12"/>
                <w:lang w:val="pt-PT"/>
              </w:rPr>
              <w:t>National Counterpart</w:t>
            </w:r>
          </w:p>
          <w:p w:rsidR="005A07CB" w:rsidRPr="00AF770A" w:rsidP="00426349">
            <w:pPr>
              <w:spacing w:before="0" w:after="0"/>
              <w:jc w:val="center"/>
              <w:rPr>
                <w:b/>
                <w:color w:val="000000"/>
                <w:sz w:val="12"/>
                <w:szCs w:val="12"/>
                <w:lang w:val="pt-PT"/>
              </w:rPr>
            </w:pPr>
            <w:r w:rsidRPr="00AF770A">
              <w:rPr>
                <w:b/>
                <w:color w:val="000000"/>
                <w:sz w:val="12"/>
                <w:szCs w:val="12"/>
                <w:lang w:val="pt-PT"/>
              </w:rPr>
              <w:t xml:space="preserve"> </w:t>
            </w:r>
            <w:r w:rsidRPr="00AF770A">
              <w:rPr>
                <w:b/>
                <w:sz w:val="12"/>
                <w:szCs w:val="12"/>
                <w:lang w:val="pt-PT"/>
              </w:rPr>
              <w:t>(i) = (b) – (k)</w:t>
            </w:r>
            <w:r w:rsidRPr="00AF770A">
              <w:rPr>
                <w:b/>
                <w:color w:val="000000"/>
                <w:sz w:val="12"/>
                <w:szCs w:val="12"/>
                <w:lang w:val="pt-PT"/>
              </w:rPr>
              <w:t xml:space="preserve"> </w:t>
            </w:r>
          </w:p>
        </w:tc>
        <w:tc>
          <w:tcPr/>
          <w:p w:rsidR="005A07CB" w:rsidRPr="00AF770A" w:rsidP="00426349">
            <w:pPr>
              <w:tabs>
                <w:tab w:val="left" w:pos="426"/>
              </w:tabs>
              <w:spacing w:before="0" w:after="0"/>
              <w:jc w:val="center"/>
              <w:rPr>
                <w:b/>
                <w:color w:val="000000"/>
                <w:sz w:val="12"/>
                <w:szCs w:val="12"/>
                <w:lang w:val="pt-PT"/>
              </w:rPr>
            </w:pPr>
            <w:r w:rsidRPr="00AF770A">
              <w:rPr>
                <w:b/>
                <w:noProof/>
                <w:color w:val="000000"/>
                <w:sz w:val="12"/>
                <w:szCs w:val="12"/>
                <w:lang w:val="pt-PT"/>
              </w:rPr>
              <w:t>Union support</w:t>
            </w:r>
            <w:r w:rsidRPr="00AF770A">
              <w:rPr>
                <w:b/>
                <w:color w:val="000000"/>
                <w:sz w:val="12"/>
                <w:szCs w:val="12"/>
                <w:lang w:val="pt-PT"/>
              </w:rPr>
              <w:t xml:space="preserve"> </w:t>
            </w:r>
          </w:p>
          <w:p w:rsidR="005A07CB" w:rsidRPr="00AF770A" w:rsidP="00426349">
            <w:pPr>
              <w:tabs>
                <w:tab w:val="left" w:pos="426"/>
              </w:tabs>
              <w:spacing w:before="0" w:after="0"/>
              <w:jc w:val="center"/>
              <w:rPr>
                <w:b/>
                <w:color w:val="000000"/>
                <w:sz w:val="12"/>
                <w:szCs w:val="12"/>
                <w:lang w:val="pt-PT"/>
              </w:rPr>
            </w:pPr>
            <w:r w:rsidRPr="00AF770A">
              <w:rPr>
                <w:b/>
                <w:sz w:val="12"/>
                <w:szCs w:val="12"/>
                <w:lang w:val="pt-PT"/>
              </w:rPr>
              <w:t>(j)</w:t>
            </w:r>
          </w:p>
        </w:tc>
        <w:tc>
          <w:tcPr/>
          <w:p w:rsidR="005A07CB" w:rsidRPr="00AF770A" w:rsidP="00426349">
            <w:pPr>
              <w:spacing w:before="0" w:after="0"/>
              <w:jc w:val="center"/>
              <w:rPr>
                <w:b/>
                <w:color w:val="000000"/>
                <w:sz w:val="12"/>
                <w:szCs w:val="12"/>
                <w:lang w:val="pt-PT"/>
              </w:rPr>
            </w:pPr>
            <w:r w:rsidRPr="00AF770A">
              <w:rPr>
                <w:b/>
                <w:noProof/>
                <w:color w:val="000000"/>
                <w:sz w:val="12"/>
                <w:szCs w:val="12"/>
                <w:lang w:val="pt-PT"/>
              </w:rPr>
              <w:t>National Counterpart</w:t>
            </w:r>
            <w:r w:rsidRPr="00AF770A">
              <w:rPr>
                <w:b/>
                <w:color w:val="000000"/>
                <w:sz w:val="12"/>
                <w:szCs w:val="12"/>
                <w:lang w:val="pt-PT"/>
              </w:rPr>
              <w:t xml:space="preserve"> </w:t>
            </w:r>
          </w:p>
          <w:p w:rsidR="005A07CB" w:rsidRPr="00AF770A" w:rsidP="00426349">
            <w:pPr>
              <w:spacing w:before="0" w:after="0"/>
              <w:jc w:val="center"/>
              <w:rPr>
                <w:b/>
                <w:color w:val="000000"/>
                <w:sz w:val="12"/>
                <w:szCs w:val="12"/>
                <w:lang w:val="pt-PT"/>
              </w:rPr>
            </w:pPr>
            <w:r w:rsidRPr="00AF770A">
              <w:rPr>
                <w:b/>
                <w:sz w:val="12"/>
                <w:szCs w:val="12"/>
                <w:lang w:val="pt-PT"/>
              </w:rPr>
              <w:t>(k) = (b) * ((j) / (a)</w:t>
            </w:r>
          </w:p>
        </w:tc>
        <w:tc>
          <w:tcPr/>
          <w:p w:rsidR="005A07CB" w:rsidRPr="008C0DE9" w:rsidP="00426349">
            <w:pPr>
              <w:spacing w:before="0" w:after="0"/>
              <w:jc w:val="center"/>
              <w:rPr>
                <w:b/>
                <w:color w:val="000000"/>
                <w:sz w:val="14"/>
                <w:szCs w:val="14"/>
                <w:lang w:val="pt-PT"/>
              </w:rPr>
            </w:pPr>
            <w:r w:rsidRPr="008C0DE9">
              <w:rPr>
                <w:b/>
                <w:sz w:val="14"/>
                <w:szCs w:val="14"/>
              </w:rPr>
              <w:t>(l) = (j) / (a) * 100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AP1</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ERDF</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Less developed</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D11497" w:rsidR="005944B6">
              <w:rPr>
                <w:noProof/>
                <w:sz w:val="8"/>
                <w:szCs w:val="8"/>
              </w:rPr>
              <w:t>Public</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594,019,711.00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104,827,008.00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104,827,008.00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698,846,719.00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84.9999999785%</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527,811,139.00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93,143,142.00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66,208,572.00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11,683,866.00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11.15%</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AP1</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ERDF</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More developed</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D11497" w:rsidR="005944B6">
              <w:rPr>
                <w:noProof/>
                <w:sz w:val="8"/>
                <w:szCs w:val="8"/>
              </w:rPr>
              <w:t>Public</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186,401,436.00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46,601,109.00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46,601,109.00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233,002,545.00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79.9997424921%</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171,301,723.00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42,826,120.00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15,099,713.00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3,774,989.00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8.10%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AP2</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ERDF</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Less developed</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D11497" w:rsidR="005944B6">
              <w:rPr>
                <w:noProof/>
                <w:sz w:val="8"/>
                <w:szCs w:val="8"/>
              </w:rPr>
              <w:t>Public</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442,929,783.00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78,164,080.00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78,164,080.00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521,093,863.00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84.9999998945%</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442,929,783.00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78,164,080.00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AP2</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ERDF</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More developed</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D11497" w:rsidR="005944B6">
              <w:rPr>
                <w:noProof/>
                <w:sz w:val="8"/>
                <w:szCs w:val="8"/>
              </w:rPr>
              <w:t>Public</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56,436,304.00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14,109,076.00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14,109,076.00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70,545,380.00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80.0000000000%</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56,436,304.00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14,109,076.00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AP3</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ERDF</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Less developed</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D11497" w:rsidR="005944B6">
              <w:rPr>
                <w:noProof/>
                <w:sz w:val="8"/>
                <w:szCs w:val="8"/>
              </w:rPr>
              <w:t>Public</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434,314,043.00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76,643,655.00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76,643,655.00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510,957,698.00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84.9999999413%</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434,314,043.00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76,643,655.00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noProof/>
                <w:color w:val="000000"/>
                <w:sz w:val="8"/>
                <w:szCs w:val="8"/>
              </w:rPr>
              <w:t>AP3</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ERDF</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noProof/>
                <w:color w:val="000000"/>
                <w:sz w:val="8"/>
                <w:szCs w:val="8"/>
              </w:rPr>
              <w:t>More developed</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r w:rsidRPr="00D11497" w:rsidR="005944B6">
              <w:rPr>
                <w:noProof/>
                <w:sz w:val="8"/>
                <w:szCs w:val="8"/>
              </w:rPr>
              <w:t>Public</w:t>
            </w:r>
            <w:r w:rsidRPr="00804899">
              <w:rPr>
                <w:rFonts w:eastAsia="Arial Unicode MS"/>
                <w:color w:val="000000"/>
                <w:sz w:val="8"/>
                <w:szCs w:val="8"/>
              </w:rPr>
              <w:t xml:space="preserve"> </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115,685,957.00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28,921,490.00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28,921,490.00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noProof/>
                <w:color w:val="000000"/>
                <w:sz w:val="8"/>
                <w:szCs w:val="8"/>
              </w:rPr>
              <w:t>144,607,447.00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79.9999995851%</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noProof/>
                <w:color w:val="000000"/>
                <w:sz w:val="8"/>
                <w:szCs w:val="8"/>
              </w:rPr>
              <w:t>115,685,957.00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noProof/>
                <w:color w:val="000000"/>
                <w:sz w:val="8"/>
                <w:szCs w:val="8"/>
              </w:rPr>
              <w:t>28,921,490.00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noProof/>
                <w:color w:val="000000"/>
                <w:sz w:val="8"/>
                <w:szCs w:val="8"/>
              </w:rPr>
              <w:t>0.00%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b/>
                <w:noProof/>
                <w:color w:val="000000"/>
                <w:sz w:val="8"/>
                <w:szCs w:val="8"/>
              </w:rPr>
              <w:t>Total</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ERDF</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Less developed</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1,471,263,537.00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259,634,743.00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259,634,743.00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1,730,898,280.00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84.9999999422%</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1,405,054,965.00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247,950,877.00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66,208,572.00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11,683,866.00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4.50%</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b/>
                <w:noProof/>
                <w:color w:val="000000"/>
                <w:sz w:val="8"/>
                <w:szCs w:val="8"/>
              </w:rPr>
              <w:t>Total</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ERDF</w:t>
            </w:r>
          </w:p>
        </w:tc>
        <w:tc>
          <w:tcPr>
            <w:shd w:val="clear" w:color="auto" w:fill="auto"/>
          </w:tcPr>
          <w:p w:rsidR="005A07CB" w:rsidRPr="00804899" w:rsidP="00426349">
            <w:pPr>
              <w:tabs>
                <w:tab w:val="left" w:pos="426"/>
              </w:tabs>
              <w:spacing w:before="0" w:after="0"/>
              <w:rPr>
                <w:rFonts w:eastAsia="Arial Unicode MS"/>
                <w:color w:val="000000"/>
                <w:sz w:val="8"/>
                <w:szCs w:val="8"/>
              </w:rPr>
            </w:pPr>
            <w:r w:rsidRPr="00804899">
              <w:rPr>
                <w:rFonts w:eastAsia="Arial Unicode MS"/>
                <w:b/>
                <w:noProof/>
                <w:color w:val="000000"/>
                <w:sz w:val="8"/>
                <w:szCs w:val="8"/>
              </w:rPr>
              <w:t>More developed</w:t>
            </w: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358,523,697.00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89,631,675.00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89,631,675.00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448,155,372.00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79.9998659840%</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343,423,984.00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85,856,686.00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15,099,713.00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3,774,989.00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4.21%</w:t>
            </w:r>
          </w:p>
        </w:tc>
      </w:tr>
      <w:tr w:rsidTr="008E3A3F">
        <w:tblPrEx>
          <w:tblW w:w="5000" w:type="pct"/>
          <w:tblCellMar>
            <w:left w:w="68" w:type="dxa"/>
            <w:right w:w="68" w:type="dxa"/>
          </w:tblCellMar>
          <w:tblLook w:val="04A0"/>
        </w:tblPrEx>
        <w:trPr>
          <w:trHeight w:val="113"/>
        </w:trPr>
        <w:tc>
          <w:tcPr>
            <w:shd w:val="clear" w:color="auto" w:fill="auto"/>
          </w:tcPr>
          <w:p w:rsidR="005A07CB" w:rsidRPr="00804899" w:rsidP="00426349">
            <w:pPr>
              <w:tabs>
                <w:tab w:val="left" w:pos="426"/>
              </w:tabs>
              <w:spacing w:before="0" w:after="0"/>
              <w:rPr>
                <w:rFonts w:eastAsia="Arial Unicode MS"/>
                <w:b/>
                <w:color w:val="000000"/>
                <w:sz w:val="8"/>
                <w:szCs w:val="8"/>
              </w:rPr>
            </w:pPr>
            <w:r w:rsidRPr="00804899">
              <w:rPr>
                <w:b/>
                <w:noProof/>
                <w:color w:val="000000"/>
                <w:sz w:val="8"/>
                <w:szCs w:val="8"/>
              </w:rPr>
              <w:t>Grand total</w:t>
            </w: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rPr>
                <w:rFonts w:eastAsia="Arial Unicode MS"/>
                <w:color w:val="000000"/>
                <w:sz w:val="8"/>
                <w:szCs w:val="8"/>
              </w:rPr>
            </w:pPr>
          </w:p>
        </w:tc>
        <w:tc>
          <w:tcPr>
            <w:shd w:val="clear" w:color="auto" w:fill="auto"/>
          </w:tcPr>
          <w:p w:rsidR="005A07CB" w:rsidRPr="00804899" w:rsidP="00426349">
            <w:pPr>
              <w:tabs>
                <w:tab w:val="left" w:pos="426"/>
              </w:tabs>
              <w:spacing w:before="0" w:after="0"/>
              <w:jc w:val="center"/>
              <w:rPr>
                <w:rFonts w:eastAsia="Arial Unicode MS"/>
                <w:color w:val="000000"/>
                <w:sz w:val="8"/>
                <w:szCs w:val="8"/>
              </w:rPr>
            </w:pP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1,829,787,234.00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349,266,418.00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349,266,418.00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sidRPr="00804899">
              <w:rPr>
                <w:rFonts w:eastAsia="Arial Unicode MS"/>
                <w:b/>
                <w:noProof/>
                <w:color w:val="000000"/>
                <w:sz w:val="8"/>
                <w:szCs w:val="8"/>
              </w:rPr>
              <w:t>2,179,053,652.00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83.9716466972%</w:t>
            </w:r>
          </w:p>
        </w:tc>
        <w:tc>
          <w:tcPr/>
          <w:p w:rsidR="00030008" w:rsidRPr="00804899" w:rsidP="00426349">
            <w:pPr>
              <w:tabs>
                <w:tab w:val="left" w:pos="426"/>
              </w:tabs>
              <w:spacing w:before="0" w:after="0"/>
              <w:jc w:val="right"/>
              <w:rPr>
                <w:rFonts w:eastAsia="Arial Unicode MS"/>
                <w:color w:val="000000"/>
                <w:sz w:val="8"/>
                <w:szCs w:val="8"/>
              </w:rPr>
            </w:pPr>
          </w:p>
        </w:tc>
        <w:tc>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0.00</w:t>
            </w:r>
          </w:p>
        </w:tc>
        <w:tc>
          <w:tcPr>
            <w:shd w:val="clear" w:color="auto" w:fill="auto"/>
          </w:tcPr>
          <w:p w:rsidR="005A07CB" w:rsidRPr="00804899" w:rsidP="00426349">
            <w:pPr>
              <w:tabs>
                <w:tab w:val="left" w:pos="426"/>
              </w:tabs>
              <w:spacing w:before="0" w:after="0"/>
              <w:jc w:val="right"/>
              <w:rPr>
                <w:rFonts w:eastAsia="Arial Unicode MS"/>
                <w:color w:val="000000"/>
                <w:sz w:val="8"/>
                <w:szCs w:val="8"/>
              </w:rPr>
            </w:pPr>
            <w:r>
              <w:rPr>
                <w:rFonts w:eastAsia="Arial Unicode MS"/>
                <w:b/>
                <w:noProof/>
                <w:color w:val="000000"/>
                <w:sz w:val="8"/>
                <w:szCs w:val="8"/>
              </w:rPr>
              <w:t>1,748,478,949.00</w:t>
            </w:r>
          </w:p>
        </w:tc>
        <w:tc>
          <w:tcPr>
            <w:shd w:val="clear" w:color="auto" w:fill="auto"/>
          </w:tcPr>
          <w:p w:rsidR="005A07CB" w:rsidRPr="00804899" w:rsidP="00426349">
            <w:pPr>
              <w:tabs>
                <w:tab w:val="left" w:pos="426"/>
              </w:tabs>
              <w:spacing w:before="0" w:after="0"/>
              <w:jc w:val="right"/>
              <w:rPr>
                <w:rFonts w:eastAsia="Arial Unicode MS"/>
                <w:b/>
                <w:color w:val="000000"/>
                <w:sz w:val="8"/>
                <w:szCs w:val="8"/>
              </w:rPr>
            </w:pPr>
            <w:r>
              <w:rPr>
                <w:rFonts w:eastAsia="Arial Unicode MS"/>
                <w:b/>
                <w:noProof/>
                <w:color w:val="000000"/>
                <w:sz w:val="8"/>
                <w:szCs w:val="8"/>
              </w:rPr>
              <w:t>333,807,563.00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81,308,285.00</w:t>
            </w:r>
          </w:p>
        </w:tc>
        <w:tc>
          <w:tcPr/>
          <w:p w:rsidR="005A07CB" w:rsidRPr="00804899" w:rsidP="00426349">
            <w:pPr>
              <w:tabs>
                <w:tab w:val="left" w:pos="426"/>
              </w:tabs>
              <w:spacing w:before="0" w:after="0"/>
              <w:jc w:val="right"/>
              <w:rPr>
                <w:rFonts w:eastAsia="Arial Unicode MS"/>
                <w:color w:val="000000"/>
                <w:sz w:val="8"/>
                <w:szCs w:val="8"/>
              </w:rPr>
            </w:pPr>
            <w:r w:rsidRPr="00804899">
              <w:rPr>
                <w:rFonts w:eastAsia="Arial Unicode MS"/>
                <w:b/>
                <w:noProof/>
                <w:color w:val="000000"/>
                <w:sz w:val="8"/>
                <w:szCs w:val="8"/>
              </w:rPr>
              <w:t>15,458,855.00</w:t>
            </w:r>
          </w:p>
        </w:tc>
        <w:tc>
          <w:tcPr/>
          <w:p w:rsidR="005A07CB" w:rsidRPr="00804899" w:rsidP="00426349">
            <w:pPr>
              <w:tabs>
                <w:tab w:val="left" w:pos="426"/>
              </w:tabs>
              <w:spacing w:before="0" w:after="0"/>
              <w:jc w:val="right"/>
              <w:rPr>
                <w:rFonts w:eastAsia="Arial Unicode MS"/>
                <w:color w:val="000000"/>
                <w:sz w:val="8"/>
                <w:szCs w:val="8"/>
              </w:rPr>
            </w:pPr>
          </w:p>
        </w:tc>
      </w:tr>
    </w:tbl>
    <w:p w:rsidR="00B05E23" w:rsidP="00B05E23">
      <w:pPr>
        <w:tabs>
          <w:tab w:val="left" w:pos="426"/>
        </w:tabs>
        <w:spacing w:before="0" w:after="0"/>
        <w:rPr>
          <w:sz w:val="16"/>
          <w:szCs w:val="16"/>
        </w:rPr>
      </w:pPr>
      <w:r w:rsidRPr="002559FD" w:rsidR="008D5009">
        <w:rPr>
          <w:noProof/>
          <w:sz w:val="16"/>
          <w:szCs w:val="16"/>
        </w:rPr>
        <w:t>(1) To be completed only when priority axes are expressed in total costs.</w:t>
      </w:r>
    </w:p>
    <w:p w:rsidR="00B05E23" w:rsidP="00B05E23">
      <w:pPr>
        <w:tabs>
          <w:tab w:val="left" w:pos="426"/>
        </w:tabs>
        <w:spacing w:before="0" w:after="0"/>
        <w:rPr>
          <w:sz w:val="16"/>
          <w:szCs w:val="16"/>
        </w:rPr>
      </w:pPr>
      <w:r w:rsidRPr="00B05E23" w:rsidR="001D4364">
        <w:rPr>
          <w:noProof/>
          <w:sz w:val="16"/>
          <w:szCs w:val="16"/>
        </w:rPr>
        <w:t>(2) This rate may be rounded to the nearest whole number in the table. The precise rate used to reimburse payments is the ratio (f).</w:t>
      </w:r>
    </w:p>
    <w:p w:rsidR="002559FD" w:rsidRPr="002559FD" w:rsidP="00B05E23">
      <w:pPr>
        <w:tabs>
          <w:tab w:val="left" w:pos="426"/>
        </w:tabs>
        <w:spacing w:before="0" w:after="0"/>
        <w:rPr>
          <w:b/>
          <w:sz w:val="16"/>
          <w:szCs w:val="16"/>
        </w:rPr>
      </w:pPr>
      <w:r w:rsidRPr="00B05E23">
        <w:rPr>
          <w:noProof/>
          <w:sz w:val="16"/>
          <w:szCs w:val="16"/>
        </w:rPr>
        <w:t>(3) By ticking the box the Member State requests to apply, pursuant to Article 25a(1) of Regulation (EU) No 1303/2013, a co-financing rate of 100% to expenditure declared in payment applications during the accounting year starting on 1 July 2020 and ending on 30 June 2021 for all /some of the priority axes of the operational programme.</w:t>
      </w:r>
    </w:p>
    <w:p w:rsidR="002559FD" w:rsidRPr="009843EE" w:rsidP="009843EE">
      <w:pPr>
        <w:spacing w:before="0" w:after="0"/>
        <w:rPr>
          <w:b/>
          <w:color w:val="000000"/>
          <w:sz w:val="18"/>
          <w:szCs w:val="18"/>
        </w:rPr>
      </w:pPr>
    </w:p>
    <w:p w:rsidR="008D5009" w:rsidRPr="009843EE" w:rsidP="008D5009">
      <w:pPr>
        <w:spacing w:before="0" w:after="0"/>
        <w:rPr>
          <w:b/>
          <w:color w:val="000000"/>
          <w:sz w:val="18"/>
          <w:szCs w:val="18"/>
        </w:rPr>
      </w:pPr>
    </w:p>
    <w:p w:rsidR="008D5009" w:rsidRPr="00FE4B75" w:rsidP="008D5009">
      <w:pPr>
        <w:spacing w:before="0" w:after="0"/>
        <w:rPr>
          <w:b/>
          <w:color w:val="000000"/>
          <w:sz w:val="18"/>
          <w:szCs w:val="18"/>
        </w:rPr>
      </w:pPr>
    </w:p>
    <w:p w:rsidR="008D5009" w:rsidRPr="00391CD8" w:rsidP="008D5534">
      <w:pPr>
        <w:pStyle w:val="ManualHeading2"/>
      </w:pPr>
      <w:bookmarkStart w:id="128" w:name="_Toc256000097"/>
      <w:r w:rsidRPr="00391CD8">
        <w:rPr>
          <w:noProof/>
        </w:rPr>
        <w:t>Table 18c: Breakdown of the financial plan by priority axis, fund, category of region and thematic objective</w:t>
      </w:r>
      <w:bookmarkEnd w:id="12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3"/>
        <w:gridCol w:w="645"/>
        <w:gridCol w:w="894"/>
        <w:gridCol w:w="5405"/>
        <w:gridCol w:w="1356"/>
        <w:gridCol w:w="1236"/>
        <w:gridCol w:w="1356"/>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A65D1B" w:rsidP="00426349">
            <w:pPr>
              <w:spacing w:before="0" w:after="0"/>
              <w:jc w:val="center"/>
              <w:rPr>
                <w:b/>
                <w:color w:val="000000"/>
                <w:sz w:val="16"/>
                <w:szCs w:val="16"/>
              </w:rPr>
            </w:pPr>
            <w:r>
              <w:rPr>
                <w:b/>
                <w:noProof/>
                <w:color w:val="000000"/>
                <w:sz w:val="16"/>
                <w:szCs w:val="16"/>
              </w:rPr>
              <w:t>Priority axis</w:t>
            </w:r>
          </w:p>
        </w:tc>
        <w:tc>
          <w:tcPr>
            <w:shd w:val="clear" w:color="auto" w:fill="auto"/>
          </w:tcPr>
          <w:p w:rsidR="008D5009" w:rsidRPr="00A65D1B" w:rsidP="00426349">
            <w:pPr>
              <w:spacing w:before="0" w:after="0"/>
              <w:jc w:val="center"/>
              <w:rPr>
                <w:b/>
                <w:color w:val="000000"/>
                <w:sz w:val="16"/>
                <w:szCs w:val="16"/>
              </w:rPr>
            </w:pPr>
            <w:r w:rsidRPr="00C23AD8">
              <w:rPr>
                <w:b/>
                <w:noProof/>
                <w:color w:val="000000"/>
                <w:sz w:val="16"/>
                <w:szCs w:val="16"/>
              </w:rPr>
              <w:t>Fund</w:t>
            </w:r>
          </w:p>
        </w:tc>
        <w:tc>
          <w:tcPr>
            <w:shd w:val="clear" w:color="auto" w:fill="auto"/>
          </w:tcPr>
          <w:p w:rsidR="008D5009" w:rsidRPr="00A65D1B" w:rsidP="00426349">
            <w:pPr>
              <w:spacing w:before="0" w:after="0"/>
              <w:jc w:val="center"/>
              <w:rPr>
                <w:b/>
                <w:color w:val="000000"/>
                <w:sz w:val="16"/>
                <w:szCs w:val="16"/>
              </w:rPr>
            </w:pPr>
            <w:r w:rsidRPr="00A65D1B">
              <w:rPr>
                <w:b/>
                <w:noProof/>
                <w:color w:val="000000"/>
                <w:sz w:val="16"/>
                <w:szCs w:val="16"/>
              </w:rPr>
              <w:t>Category of region</w:t>
            </w:r>
          </w:p>
        </w:tc>
        <w:tc>
          <w:tcPr>
            <w:shd w:val="clear" w:color="auto" w:fill="auto"/>
          </w:tcPr>
          <w:p w:rsidR="008D5009" w:rsidRPr="00A65D1B" w:rsidP="00426349">
            <w:pPr>
              <w:spacing w:before="0" w:after="0"/>
              <w:jc w:val="center"/>
              <w:rPr>
                <w:b/>
                <w:color w:val="000000"/>
                <w:sz w:val="16"/>
                <w:szCs w:val="16"/>
              </w:rPr>
            </w:pPr>
            <w:r>
              <w:rPr>
                <w:b/>
                <w:noProof/>
                <w:color w:val="000000"/>
                <w:sz w:val="16"/>
                <w:szCs w:val="16"/>
              </w:rPr>
              <w:t>Thematic objective</w:t>
            </w:r>
          </w:p>
        </w:tc>
        <w:tc>
          <w:tcPr>
            <w:shd w:val="clear" w:color="auto" w:fill="auto"/>
          </w:tcPr>
          <w:p w:rsidR="008D5009" w:rsidRPr="00A65D1B" w:rsidP="00426349">
            <w:pPr>
              <w:tabs>
                <w:tab w:val="left" w:pos="426"/>
              </w:tabs>
              <w:spacing w:before="0" w:after="0"/>
              <w:jc w:val="center"/>
              <w:rPr>
                <w:b/>
                <w:color w:val="000000"/>
                <w:sz w:val="16"/>
                <w:szCs w:val="16"/>
              </w:rPr>
            </w:pPr>
            <w:r w:rsidRPr="00A65D1B">
              <w:rPr>
                <w:b/>
                <w:noProof/>
                <w:color w:val="000000"/>
                <w:sz w:val="16"/>
                <w:szCs w:val="16"/>
              </w:rPr>
              <w:t>Union support</w:t>
            </w:r>
          </w:p>
        </w:tc>
        <w:tc>
          <w:tcPr>
            <w:shd w:val="clear" w:color="auto" w:fill="auto"/>
          </w:tcPr>
          <w:p w:rsidR="008D5009" w:rsidRPr="00A65D1B" w:rsidP="00426349">
            <w:pPr>
              <w:tabs>
                <w:tab w:val="left" w:pos="426"/>
              </w:tabs>
              <w:spacing w:before="0" w:after="0"/>
              <w:jc w:val="center"/>
              <w:rPr>
                <w:b/>
                <w:color w:val="000000"/>
                <w:sz w:val="16"/>
                <w:szCs w:val="16"/>
              </w:rPr>
            </w:pPr>
            <w:r w:rsidRPr="00A65D1B">
              <w:rPr>
                <w:b/>
                <w:noProof/>
                <w:color w:val="000000"/>
                <w:sz w:val="16"/>
                <w:szCs w:val="16"/>
              </w:rPr>
              <w:t>National counterpart</w:t>
            </w:r>
          </w:p>
        </w:tc>
        <w:tc>
          <w:tcPr>
            <w:shd w:val="clear" w:color="auto" w:fill="auto"/>
          </w:tcPr>
          <w:p w:rsidR="008D5009" w:rsidRPr="00A65D1B" w:rsidP="00426349">
            <w:pPr>
              <w:spacing w:before="0" w:after="0"/>
              <w:jc w:val="center"/>
              <w:rPr>
                <w:b/>
                <w:color w:val="000000"/>
                <w:sz w:val="16"/>
                <w:szCs w:val="16"/>
              </w:rPr>
            </w:pPr>
            <w:r>
              <w:rPr>
                <w:b/>
                <w:bCs/>
                <w:noProof/>
                <w:color w:val="000000"/>
                <w:sz w:val="16"/>
                <w:szCs w:val="16"/>
              </w:rPr>
              <w:t>Total funding</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Cercetare, dezvoltare tehnologica si inovare (CDI) in sprijinul competitivitatii economice si dezvoltarii afacerilor</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ERDF</w:t>
            </w:r>
          </w:p>
        </w:tc>
        <w:tc>
          <w:tcPr>
            <w:shd w:val="clear" w:color="auto" w:fill="auto"/>
          </w:tcPr>
          <w:p w:rsidR="008D5009" w:rsidRPr="00AA1B27" w:rsidP="00426349">
            <w:pPr>
              <w:spacing w:before="0" w:after="0"/>
              <w:rPr>
                <w:sz w:val="16"/>
                <w:szCs w:val="16"/>
              </w:rPr>
            </w:pPr>
            <w:r w:rsidRPr="00AA1B27">
              <w:rPr>
                <w:noProof/>
                <w:sz w:val="16"/>
                <w:szCs w:val="16"/>
              </w:rPr>
              <w:t>Less developed</w:t>
            </w:r>
          </w:p>
        </w:tc>
        <w:tc>
          <w:tcPr>
            <w:shd w:val="clear" w:color="auto" w:fill="auto"/>
          </w:tcPr>
          <w:p w:rsidR="008D5009" w:rsidRPr="00AA1B27" w:rsidP="00426349">
            <w:pPr>
              <w:spacing w:before="0" w:after="0"/>
              <w:rPr>
                <w:sz w:val="16"/>
                <w:szCs w:val="16"/>
              </w:rPr>
            </w:pPr>
            <w:r w:rsidRPr="00AA1B27">
              <w:rPr>
                <w:noProof/>
                <w:sz w:val="16"/>
                <w:szCs w:val="16"/>
              </w:rPr>
              <w:t>Strengthening research, technological development and innovation</w:t>
            </w:r>
          </w:p>
        </w:tc>
        <w:tc>
          <w:tcPr>
            <w:shd w:val="clear" w:color="auto" w:fill="auto"/>
          </w:tcPr>
          <w:p w:rsidR="008D5009" w:rsidRPr="00AA1B27" w:rsidP="00426349">
            <w:pPr>
              <w:spacing w:before="0" w:after="0"/>
              <w:jc w:val="right"/>
              <w:rPr>
                <w:sz w:val="16"/>
                <w:szCs w:val="16"/>
              </w:rPr>
            </w:pPr>
            <w:r w:rsidRPr="00AA1B27">
              <w:rPr>
                <w:noProof/>
                <w:sz w:val="16"/>
                <w:szCs w:val="16"/>
              </w:rPr>
              <w:t>594,019,711.00</w:t>
            </w:r>
          </w:p>
        </w:tc>
        <w:tc>
          <w:tcPr>
            <w:shd w:val="clear" w:color="auto" w:fill="auto"/>
          </w:tcPr>
          <w:p w:rsidR="008D5009" w:rsidRPr="00AA1B27" w:rsidP="00426349">
            <w:pPr>
              <w:spacing w:before="0" w:after="0"/>
              <w:jc w:val="right"/>
              <w:rPr>
                <w:sz w:val="16"/>
                <w:szCs w:val="16"/>
              </w:rPr>
            </w:pPr>
            <w:r w:rsidRPr="00AA1B27">
              <w:rPr>
                <w:noProof/>
                <w:sz w:val="16"/>
                <w:szCs w:val="16"/>
              </w:rPr>
              <w:t>104,827,008.00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698,846,719.00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Cercetare, dezvoltare tehnologica si inovare (CDI) in sprijinul competitivitatii economice si dezvoltarii afacerilor</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ERDF</w:t>
            </w:r>
          </w:p>
        </w:tc>
        <w:tc>
          <w:tcPr>
            <w:shd w:val="clear" w:color="auto" w:fill="auto"/>
          </w:tcPr>
          <w:p w:rsidR="008D5009" w:rsidRPr="00AA1B27" w:rsidP="00426349">
            <w:pPr>
              <w:spacing w:before="0" w:after="0"/>
              <w:rPr>
                <w:sz w:val="16"/>
                <w:szCs w:val="16"/>
              </w:rPr>
            </w:pPr>
            <w:r w:rsidRPr="00AA1B27">
              <w:rPr>
                <w:noProof/>
                <w:sz w:val="16"/>
                <w:szCs w:val="16"/>
              </w:rPr>
              <w:t>More developed</w:t>
            </w:r>
          </w:p>
        </w:tc>
        <w:tc>
          <w:tcPr>
            <w:shd w:val="clear" w:color="auto" w:fill="auto"/>
          </w:tcPr>
          <w:p w:rsidR="008D5009" w:rsidRPr="00AA1B27" w:rsidP="00426349">
            <w:pPr>
              <w:spacing w:before="0" w:after="0"/>
              <w:rPr>
                <w:sz w:val="16"/>
                <w:szCs w:val="16"/>
              </w:rPr>
            </w:pPr>
            <w:r w:rsidRPr="00AA1B27">
              <w:rPr>
                <w:noProof/>
                <w:sz w:val="16"/>
                <w:szCs w:val="16"/>
              </w:rPr>
              <w:t>Strengthening research, technological development and innovation</w:t>
            </w:r>
          </w:p>
        </w:tc>
        <w:tc>
          <w:tcPr>
            <w:shd w:val="clear" w:color="auto" w:fill="auto"/>
          </w:tcPr>
          <w:p w:rsidR="008D5009" w:rsidRPr="00AA1B27" w:rsidP="00426349">
            <w:pPr>
              <w:spacing w:before="0" w:after="0"/>
              <w:jc w:val="right"/>
              <w:rPr>
                <w:sz w:val="16"/>
                <w:szCs w:val="16"/>
              </w:rPr>
            </w:pPr>
            <w:r w:rsidRPr="00AA1B27">
              <w:rPr>
                <w:noProof/>
                <w:sz w:val="16"/>
                <w:szCs w:val="16"/>
              </w:rPr>
              <w:t>186,401,436.00</w:t>
            </w:r>
          </w:p>
        </w:tc>
        <w:tc>
          <w:tcPr>
            <w:shd w:val="clear" w:color="auto" w:fill="auto"/>
          </w:tcPr>
          <w:p w:rsidR="008D5009" w:rsidRPr="00AA1B27" w:rsidP="00426349">
            <w:pPr>
              <w:spacing w:before="0" w:after="0"/>
              <w:jc w:val="right"/>
              <w:rPr>
                <w:sz w:val="16"/>
                <w:szCs w:val="16"/>
              </w:rPr>
            </w:pPr>
            <w:r w:rsidRPr="00AA1B27">
              <w:rPr>
                <w:noProof/>
                <w:sz w:val="16"/>
                <w:szCs w:val="16"/>
              </w:rPr>
              <w:t>46,601,109.00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233,002,545.00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Tehnologia informatiei si comunicatiilor (TIC) pentru o economie digitala competitiva</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ERDF</w:t>
            </w:r>
          </w:p>
        </w:tc>
        <w:tc>
          <w:tcPr>
            <w:shd w:val="clear" w:color="auto" w:fill="auto"/>
          </w:tcPr>
          <w:p w:rsidR="008D5009" w:rsidRPr="00AA1B27" w:rsidP="00426349">
            <w:pPr>
              <w:spacing w:before="0" w:after="0"/>
              <w:rPr>
                <w:sz w:val="16"/>
                <w:szCs w:val="16"/>
              </w:rPr>
            </w:pPr>
            <w:r w:rsidRPr="00AA1B27">
              <w:rPr>
                <w:noProof/>
                <w:sz w:val="16"/>
                <w:szCs w:val="16"/>
              </w:rPr>
              <w:t>Less developed</w:t>
            </w:r>
          </w:p>
        </w:tc>
        <w:tc>
          <w:tcPr>
            <w:shd w:val="clear" w:color="auto" w:fill="auto"/>
          </w:tcPr>
          <w:p w:rsidR="008D5009" w:rsidRPr="00AA1B27" w:rsidP="00426349">
            <w:pPr>
              <w:spacing w:before="0" w:after="0"/>
              <w:rPr>
                <w:sz w:val="16"/>
                <w:szCs w:val="16"/>
              </w:rPr>
            </w:pPr>
            <w:r w:rsidRPr="00AA1B27">
              <w:rPr>
                <w:noProof/>
                <w:sz w:val="16"/>
                <w:szCs w:val="16"/>
              </w:rPr>
              <w:t>Enhancing access to, and use and quality of, information and communication technologies</w:t>
            </w:r>
          </w:p>
        </w:tc>
        <w:tc>
          <w:tcPr>
            <w:shd w:val="clear" w:color="auto" w:fill="auto"/>
          </w:tcPr>
          <w:p w:rsidR="008D5009" w:rsidRPr="00AA1B27" w:rsidP="00426349">
            <w:pPr>
              <w:spacing w:before="0" w:after="0"/>
              <w:jc w:val="right"/>
              <w:rPr>
                <w:sz w:val="16"/>
                <w:szCs w:val="16"/>
              </w:rPr>
            </w:pPr>
            <w:r w:rsidRPr="00AA1B27">
              <w:rPr>
                <w:noProof/>
                <w:sz w:val="16"/>
                <w:szCs w:val="16"/>
              </w:rPr>
              <w:t>442,929,783.00</w:t>
            </w:r>
          </w:p>
        </w:tc>
        <w:tc>
          <w:tcPr>
            <w:shd w:val="clear" w:color="auto" w:fill="auto"/>
          </w:tcPr>
          <w:p w:rsidR="008D5009" w:rsidRPr="00AA1B27" w:rsidP="00426349">
            <w:pPr>
              <w:spacing w:before="0" w:after="0"/>
              <w:jc w:val="right"/>
              <w:rPr>
                <w:sz w:val="16"/>
                <w:szCs w:val="16"/>
              </w:rPr>
            </w:pPr>
            <w:r w:rsidRPr="00AA1B27">
              <w:rPr>
                <w:noProof/>
                <w:sz w:val="16"/>
                <w:szCs w:val="16"/>
              </w:rPr>
              <w:t>78,164,080.00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521,093,863.00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Tehnologia informatiei si comunicatiilor (TIC) pentru o economie digitala competitiva</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ERDF</w:t>
            </w:r>
          </w:p>
        </w:tc>
        <w:tc>
          <w:tcPr>
            <w:shd w:val="clear" w:color="auto" w:fill="auto"/>
          </w:tcPr>
          <w:p w:rsidR="008D5009" w:rsidRPr="00AA1B27" w:rsidP="00426349">
            <w:pPr>
              <w:spacing w:before="0" w:after="0"/>
              <w:rPr>
                <w:sz w:val="16"/>
                <w:szCs w:val="16"/>
              </w:rPr>
            </w:pPr>
            <w:r w:rsidRPr="00AA1B27">
              <w:rPr>
                <w:noProof/>
                <w:sz w:val="16"/>
                <w:szCs w:val="16"/>
              </w:rPr>
              <w:t>More developed</w:t>
            </w:r>
          </w:p>
        </w:tc>
        <w:tc>
          <w:tcPr>
            <w:shd w:val="clear" w:color="auto" w:fill="auto"/>
          </w:tcPr>
          <w:p w:rsidR="008D5009" w:rsidRPr="00AA1B27" w:rsidP="00426349">
            <w:pPr>
              <w:spacing w:before="0" w:after="0"/>
              <w:rPr>
                <w:sz w:val="16"/>
                <w:szCs w:val="16"/>
              </w:rPr>
            </w:pPr>
            <w:r w:rsidRPr="00AA1B27">
              <w:rPr>
                <w:noProof/>
                <w:sz w:val="16"/>
                <w:szCs w:val="16"/>
              </w:rPr>
              <w:t>Enhancing access to, and use and quality of, information and communication technologies</w:t>
            </w:r>
          </w:p>
        </w:tc>
        <w:tc>
          <w:tcPr>
            <w:shd w:val="clear" w:color="auto" w:fill="auto"/>
          </w:tcPr>
          <w:p w:rsidR="008D5009" w:rsidRPr="00AA1B27" w:rsidP="00426349">
            <w:pPr>
              <w:spacing w:before="0" w:after="0"/>
              <w:jc w:val="right"/>
              <w:rPr>
                <w:sz w:val="16"/>
                <w:szCs w:val="16"/>
              </w:rPr>
            </w:pPr>
            <w:r w:rsidRPr="00AA1B27">
              <w:rPr>
                <w:noProof/>
                <w:sz w:val="16"/>
                <w:szCs w:val="16"/>
              </w:rPr>
              <w:t>56,436,304.00</w:t>
            </w:r>
          </w:p>
        </w:tc>
        <w:tc>
          <w:tcPr>
            <w:shd w:val="clear" w:color="auto" w:fill="auto"/>
          </w:tcPr>
          <w:p w:rsidR="008D5009" w:rsidRPr="00AA1B27" w:rsidP="00426349">
            <w:pPr>
              <w:spacing w:before="0" w:after="0"/>
              <w:jc w:val="right"/>
              <w:rPr>
                <w:sz w:val="16"/>
                <w:szCs w:val="16"/>
              </w:rPr>
            </w:pPr>
            <w:r w:rsidRPr="00AA1B27">
              <w:rPr>
                <w:noProof/>
                <w:sz w:val="16"/>
                <w:szCs w:val="16"/>
              </w:rPr>
              <w:t>14,109,076.00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70,545,380.00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Sprijinirea IMM-urilor ca reacție la pandemia COVID -19</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ERDF</w:t>
            </w:r>
          </w:p>
        </w:tc>
        <w:tc>
          <w:tcPr>
            <w:shd w:val="clear" w:color="auto" w:fill="auto"/>
          </w:tcPr>
          <w:p w:rsidR="008D5009" w:rsidRPr="00AA1B27" w:rsidP="00426349">
            <w:pPr>
              <w:spacing w:before="0" w:after="0"/>
              <w:rPr>
                <w:sz w:val="16"/>
                <w:szCs w:val="16"/>
              </w:rPr>
            </w:pPr>
            <w:r w:rsidRPr="00AA1B27">
              <w:rPr>
                <w:noProof/>
                <w:sz w:val="16"/>
                <w:szCs w:val="16"/>
              </w:rPr>
              <w:t>Less developed</w:t>
            </w:r>
          </w:p>
        </w:tc>
        <w:tc>
          <w:tcPr>
            <w:shd w:val="clear" w:color="auto" w:fill="auto"/>
          </w:tcPr>
          <w:p w:rsidR="008D5009" w:rsidRPr="00AA1B27" w:rsidP="00426349">
            <w:pPr>
              <w:spacing w:before="0" w:after="0"/>
              <w:rPr>
                <w:sz w:val="16"/>
                <w:szCs w:val="16"/>
              </w:rPr>
            </w:pPr>
            <w:r w:rsidRPr="00AA1B27">
              <w:rPr>
                <w:noProof/>
                <w:sz w:val="16"/>
                <w:szCs w:val="16"/>
              </w:rPr>
              <w:t>Enhancing the competitiveness of small and medium-sized enterprises, the agricultural sector (for the EAFRD) and the fisheries and aquaculture sector (for the EMFF)</w:t>
            </w:r>
          </w:p>
        </w:tc>
        <w:tc>
          <w:tcPr>
            <w:shd w:val="clear" w:color="auto" w:fill="auto"/>
          </w:tcPr>
          <w:p w:rsidR="008D5009" w:rsidRPr="00AA1B27" w:rsidP="00426349">
            <w:pPr>
              <w:spacing w:before="0" w:after="0"/>
              <w:jc w:val="right"/>
              <w:rPr>
                <w:sz w:val="16"/>
                <w:szCs w:val="16"/>
              </w:rPr>
            </w:pPr>
            <w:r w:rsidRPr="00AA1B27">
              <w:rPr>
                <w:noProof/>
                <w:sz w:val="16"/>
                <w:szCs w:val="16"/>
              </w:rPr>
              <w:t>434,314,043.00</w:t>
            </w:r>
          </w:p>
        </w:tc>
        <w:tc>
          <w:tcPr>
            <w:shd w:val="clear" w:color="auto" w:fill="auto"/>
          </w:tcPr>
          <w:p w:rsidR="008D5009" w:rsidRPr="00AA1B27" w:rsidP="00426349">
            <w:pPr>
              <w:spacing w:before="0" w:after="0"/>
              <w:jc w:val="right"/>
              <w:rPr>
                <w:sz w:val="16"/>
                <w:szCs w:val="16"/>
              </w:rPr>
            </w:pPr>
            <w:r w:rsidRPr="00AA1B27">
              <w:rPr>
                <w:noProof/>
                <w:sz w:val="16"/>
                <w:szCs w:val="16"/>
              </w:rPr>
              <w:t>76,643,655.00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510,957,698.00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7E62E1">
              <w:rPr>
                <w:noProof/>
                <w:sz w:val="16"/>
                <w:szCs w:val="16"/>
              </w:rPr>
              <w:t>Sprijinirea IMM-urilor ca reacție la pandemia COVID -19</w:t>
            </w:r>
          </w:p>
        </w:tc>
        <w:tc>
          <w:tcPr>
            <w:shd w:val="clear" w:color="auto" w:fill="auto"/>
          </w:tcPr>
          <w:p w:rsidR="008D5009" w:rsidRPr="00AA1B27" w:rsidP="00426349">
            <w:pPr>
              <w:tabs>
                <w:tab w:val="left" w:pos="426"/>
              </w:tabs>
              <w:spacing w:before="0" w:after="0"/>
              <w:rPr>
                <w:b/>
                <w:sz w:val="16"/>
                <w:szCs w:val="16"/>
              </w:rPr>
            </w:pPr>
            <w:r>
              <w:rPr>
                <w:rFonts w:eastAsia="Arial Unicode MS"/>
                <w:noProof/>
                <w:sz w:val="16"/>
                <w:szCs w:val="16"/>
              </w:rPr>
              <w:t>ERDF</w:t>
            </w:r>
          </w:p>
        </w:tc>
        <w:tc>
          <w:tcPr>
            <w:shd w:val="clear" w:color="auto" w:fill="auto"/>
          </w:tcPr>
          <w:p w:rsidR="008D5009" w:rsidRPr="00AA1B27" w:rsidP="00426349">
            <w:pPr>
              <w:spacing w:before="0" w:after="0"/>
              <w:rPr>
                <w:sz w:val="16"/>
                <w:szCs w:val="16"/>
              </w:rPr>
            </w:pPr>
            <w:r w:rsidRPr="00AA1B27">
              <w:rPr>
                <w:noProof/>
                <w:sz w:val="16"/>
                <w:szCs w:val="16"/>
              </w:rPr>
              <w:t>More developed</w:t>
            </w:r>
          </w:p>
        </w:tc>
        <w:tc>
          <w:tcPr>
            <w:shd w:val="clear" w:color="auto" w:fill="auto"/>
          </w:tcPr>
          <w:p w:rsidR="008D5009" w:rsidRPr="00AA1B27" w:rsidP="00426349">
            <w:pPr>
              <w:spacing w:before="0" w:after="0"/>
              <w:rPr>
                <w:sz w:val="16"/>
                <w:szCs w:val="16"/>
              </w:rPr>
            </w:pPr>
            <w:r w:rsidRPr="00AA1B27">
              <w:rPr>
                <w:noProof/>
                <w:sz w:val="16"/>
                <w:szCs w:val="16"/>
              </w:rPr>
              <w:t>Enhancing the competitiveness of small and medium-sized enterprises, the agricultural sector (for the EAFRD) and the fisheries and aquaculture sector (for the EMFF)</w:t>
            </w:r>
          </w:p>
        </w:tc>
        <w:tc>
          <w:tcPr>
            <w:shd w:val="clear" w:color="auto" w:fill="auto"/>
          </w:tcPr>
          <w:p w:rsidR="008D5009" w:rsidRPr="00AA1B27" w:rsidP="00426349">
            <w:pPr>
              <w:spacing w:before="0" w:after="0"/>
              <w:jc w:val="right"/>
              <w:rPr>
                <w:sz w:val="16"/>
                <w:szCs w:val="16"/>
              </w:rPr>
            </w:pPr>
            <w:r w:rsidRPr="00AA1B27">
              <w:rPr>
                <w:noProof/>
                <w:sz w:val="16"/>
                <w:szCs w:val="16"/>
              </w:rPr>
              <w:t>115,685,957.00</w:t>
            </w:r>
          </w:p>
        </w:tc>
        <w:tc>
          <w:tcPr>
            <w:shd w:val="clear" w:color="auto" w:fill="auto"/>
          </w:tcPr>
          <w:p w:rsidR="008D5009" w:rsidRPr="00AA1B27" w:rsidP="00426349">
            <w:pPr>
              <w:spacing w:before="0" w:after="0"/>
              <w:jc w:val="right"/>
              <w:rPr>
                <w:sz w:val="16"/>
                <w:szCs w:val="16"/>
              </w:rPr>
            </w:pPr>
            <w:r w:rsidRPr="00AA1B27">
              <w:rPr>
                <w:noProof/>
                <w:sz w:val="16"/>
                <w:szCs w:val="16"/>
              </w:rPr>
              <w:t>28,921,490.00</w:t>
            </w:r>
          </w:p>
        </w:tc>
        <w:tc>
          <w:tcPr>
            <w:shd w:val="clear" w:color="auto" w:fill="auto"/>
          </w:tcPr>
          <w:p w:rsidR="008D5009" w:rsidRPr="00A65D1B" w:rsidP="00426349">
            <w:pPr>
              <w:tabs>
                <w:tab w:val="left" w:pos="426"/>
              </w:tabs>
              <w:spacing w:before="0" w:after="0"/>
              <w:jc w:val="right"/>
              <w:rPr>
                <w:sz w:val="16"/>
                <w:szCs w:val="16"/>
              </w:rPr>
            </w:pPr>
            <w:r w:rsidRPr="00AA1B27">
              <w:rPr>
                <w:rFonts w:eastAsia="Arial Unicode MS"/>
                <w:noProof/>
                <w:sz w:val="16"/>
                <w:szCs w:val="16"/>
              </w:rPr>
              <w:t>144,607,447.00</w:t>
            </w:r>
            <w:r w:rsidRPr="00AA1B27">
              <w:rPr>
                <w:rFonts w:eastAsia="Arial Unicode MS"/>
                <w:sz w:val="16"/>
                <w:szCs w:val="16"/>
              </w:rPr>
              <w:t xml:space="preserve"> </w:t>
            </w:r>
          </w:p>
        </w:tc>
      </w:tr>
      <w:tr w:rsidTr="00426349">
        <w:tblPrEx>
          <w:tblW w:w="5000" w:type="pct"/>
          <w:tblLook w:val="04A0"/>
        </w:tblPrEx>
        <w:trPr>
          <w:trHeight w:val="288"/>
        </w:trPr>
        <w:tc>
          <w:tcPr>
            <w:shd w:val="clear" w:color="auto" w:fill="auto"/>
          </w:tcPr>
          <w:p w:rsidR="008D5009" w:rsidRPr="00AA1B27" w:rsidP="00426349">
            <w:pPr>
              <w:tabs>
                <w:tab w:val="left" w:pos="426"/>
              </w:tabs>
              <w:spacing w:before="0" w:after="0"/>
              <w:rPr>
                <w:rFonts w:eastAsia="Arial Unicode MS"/>
                <w:sz w:val="16"/>
                <w:szCs w:val="16"/>
              </w:rPr>
            </w:pPr>
            <w:r w:rsidRPr="00AA1B27">
              <w:rPr>
                <w:rFonts w:eastAsia="Arial Unicode MS"/>
                <w:sz w:val="16"/>
                <w:szCs w:val="16"/>
              </w:rPr>
              <w:t xml:space="preserve"> </w:t>
            </w:r>
            <w:r w:rsidRPr="00AA1B27">
              <w:rPr>
                <w:b/>
                <w:noProof/>
                <w:sz w:val="16"/>
                <w:szCs w:val="16"/>
              </w:rPr>
              <w:t>Total</w:t>
            </w:r>
          </w:p>
        </w:tc>
        <w:tc>
          <w:tcPr>
            <w:shd w:val="clear" w:color="auto" w:fill="auto"/>
          </w:tcPr>
          <w:p w:rsidR="008D5009" w:rsidRPr="00AA1B27" w:rsidP="00426349">
            <w:pPr>
              <w:tabs>
                <w:tab w:val="left" w:pos="426"/>
              </w:tabs>
              <w:spacing w:before="0" w:after="0"/>
              <w:rPr>
                <w:b/>
                <w:sz w:val="16"/>
                <w:szCs w:val="16"/>
              </w:rPr>
            </w:pP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rPr>
                <w:sz w:val="16"/>
                <w:szCs w:val="16"/>
              </w:rPr>
            </w:pPr>
          </w:p>
        </w:tc>
        <w:tc>
          <w:tcPr>
            <w:shd w:val="clear" w:color="auto" w:fill="auto"/>
          </w:tcPr>
          <w:p w:rsidR="008D5009" w:rsidRPr="00AA1B27" w:rsidP="00426349">
            <w:pPr>
              <w:spacing w:before="0" w:after="0"/>
              <w:jc w:val="right"/>
              <w:rPr>
                <w:sz w:val="16"/>
                <w:szCs w:val="16"/>
              </w:rPr>
            </w:pPr>
            <w:r w:rsidRPr="00AB5B6B">
              <w:rPr>
                <w:b/>
                <w:noProof/>
                <w:sz w:val="16"/>
                <w:szCs w:val="16"/>
              </w:rPr>
              <w:t>1,829,787,234.00</w:t>
            </w:r>
          </w:p>
        </w:tc>
        <w:tc>
          <w:tcPr>
            <w:shd w:val="clear" w:color="auto" w:fill="auto"/>
          </w:tcPr>
          <w:p w:rsidR="008D5009" w:rsidRPr="00AA1B27" w:rsidP="00426349">
            <w:pPr>
              <w:spacing w:before="0" w:after="0"/>
              <w:jc w:val="right"/>
              <w:rPr>
                <w:sz w:val="16"/>
                <w:szCs w:val="16"/>
              </w:rPr>
            </w:pPr>
            <w:r w:rsidRPr="00AB5B6B">
              <w:rPr>
                <w:b/>
                <w:noProof/>
                <w:sz w:val="16"/>
                <w:szCs w:val="16"/>
              </w:rPr>
              <w:t>349,266,418.00</w:t>
            </w:r>
          </w:p>
        </w:tc>
        <w:tc>
          <w:tcPr>
            <w:shd w:val="clear" w:color="auto" w:fill="auto"/>
          </w:tcPr>
          <w:p w:rsidR="008D5009" w:rsidRPr="00A65D1B" w:rsidP="00426349">
            <w:pPr>
              <w:tabs>
                <w:tab w:val="left" w:pos="426"/>
              </w:tabs>
              <w:spacing w:before="0" w:after="0"/>
              <w:jc w:val="right"/>
              <w:rPr>
                <w:sz w:val="16"/>
                <w:szCs w:val="16"/>
              </w:rPr>
            </w:pPr>
            <w:r w:rsidRPr="00AB5B6B">
              <w:rPr>
                <w:rFonts w:eastAsia="Arial Unicode MS"/>
                <w:b/>
                <w:noProof/>
                <w:sz w:val="16"/>
                <w:szCs w:val="16"/>
              </w:rPr>
              <w:t>2,179,053,652.00</w:t>
            </w:r>
            <w:r w:rsidRPr="00AA1B27">
              <w:rPr>
                <w:rFonts w:eastAsia="Arial Unicode MS"/>
                <w:sz w:val="16"/>
                <w:szCs w:val="16"/>
              </w:rPr>
              <w:t xml:space="preserve"> </w:t>
            </w:r>
          </w:p>
        </w:tc>
      </w:tr>
    </w:tbl>
    <w:p w:rsidR="008D5009" w:rsidP="008D5009">
      <w:pPr>
        <w:keepNext/>
        <w:spacing w:before="0" w:after="0"/>
        <w:rPr>
          <w:b/>
        </w:rPr>
      </w:pPr>
    </w:p>
    <w:p w:rsidR="008D5009" w:rsidRPr="00391CD8" w:rsidP="008D5534">
      <w:pPr>
        <w:pStyle w:val="ManualHeading2"/>
      </w:pPr>
      <w:bookmarkStart w:id="129" w:name="_Toc256000098"/>
      <w:r w:rsidRPr="00391CD8">
        <w:rPr>
          <w:noProof/>
        </w:rPr>
        <w:t>Table 19: Indicative amount of support to be used for climate change objectives</w:t>
      </w:r>
      <w:bookmarkEnd w:id="12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1411"/>
        <w:gridCol w:w="6895"/>
        <w:gridCol w:w="6468"/>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Ex>
        <w:trPr>
          <w:tblHeader/>
        </w:trPr>
        <w:tc>
          <w:tcPr>
            <w:shd w:val="clear" w:color="auto" w:fill="auto"/>
          </w:tcPr>
          <w:p w:rsidR="008D5009" w:rsidRPr="006665E6" w:rsidP="00426349">
            <w:pPr>
              <w:spacing w:before="0" w:after="0"/>
              <w:jc w:val="center"/>
              <w:rPr>
                <w:b/>
                <w:color w:val="000000"/>
                <w:sz w:val="18"/>
                <w:szCs w:val="18"/>
              </w:rPr>
            </w:pPr>
            <w:r w:rsidRPr="006665E6">
              <w:rPr>
                <w:b/>
                <w:noProof/>
                <w:color w:val="000000"/>
                <w:sz w:val="18"/>
                <w:szCs w:val="18"/>
              </w:rPr>
              <w:t>Priority axis</w:t>
            </w:r>
          </w:p>
        </w:tc>
        <w:tc>
          <w:tcPr>
            <w:shd w:val="clear" w:color="auto" w:fill="auto"/>
          </w:tcPr>
          <w:p w:rsidR="008D5009" w:rsidRPr="006665E6" w:rsidP="00426349">
            <w:pPr>
              <w:spacing w:before="0" w:after="0"/>
              <w:jc w:val="center"/>
              <w:rPr>
                <w:b/>
                <w:color w:val="000000"/>
                <w:sz w:val="18"/>
                <w:szCs w:val="18"/>
                <w:lang w:val="da-DK"/>
              </w:rPr>
            </w:pPr>
            <w:r w:rsidRPr="006665E6">
              <w:rPr>
                <w:b/>
                <w:noProof/>
                <w:color w:val="000000"/>
                <w:sz w:val="18"/>
                <w:szCs w:val="18"/>
                <w:lang w:val="da-DK"/>
              </w:rPr>
              <w:t>Indicative amount of support to be used for climate change objectives (€)</w:t>
            </w:r>
          </w:p>
        </w:tc>
        <w:tc>
          <w:tcPr>
            <w:shd w:val="clear" w:color="auto" w:fill="auto"/>
          </w:tcPr>
          <w:p w:rsidR="008D5009" w:rsidRPr="006665E6" w:rsidP="00426349">
            <w:pPr>
              <w:spacing w:before="0" w:after="0"/>
              <w:jc w:val="center"/>
              <w:rPr>
                <w:b/>
                <w:color w:val="000000"/>
                <w:sz w:val="18"/>
                <w:szCs w:val="18"/>
              </w:rPr>
            </w:pPr>
            <w:r w:rsidRPr="006665E6">
              <w:rPr>
                <w:b/>
                <w:noProof/>
                <w:color w:val="000000"/>
                <w:sz w:val="18"/>
                <w:szCs w:val="18"/>
              </w:rPr>
              <w:t>Proportion of the total allocation to the operational programme (%)</w:t>
            </w:r>
          </w:p>
        </w:tc>
      </w:tr>
      <w:tr w:rsidTr="00426349">
        <w:tblPrEx>
          <w:tblW w:w="5000" w:type="pct"/>
          <w:tblLook w:val="0400"/>
        </w:tblPrEx>
        <w:trPr>
          <w:trHeight w:val="288"/>
        </w:trPr>
        <w:tc>
          <w:tcPr>
            <w:shd w:val="clear" w:color="auto" w:fill="auto"/>
          </w:tcPr>
          <w:p w:rsidR="008D5009" w:rsidRPr="006665E6" w:rsidP="00426349">
            <w:pPr>
              <w:spacing w:before="0" w:after="0"/>
              <w:rPr>
                <w:sz w:val="18"/>
                <w:szCs w:val="18"/>
              </w:rPr>
            </w:pPr>
            <w:r w:rsidRPr="006665E6">
              <w:rPr>
                <w:sz w:val="18"/>
                <w:szCs w:val="18"/>
              </w:rPr>
              <w:t xml:space="preserve"> </w:t>
            </w:r>
            <w:r w:rsidRPr="006665E6">
              <w:rPr>
                <w:b/>
                <w:noProof/>
                <w:sz w:val="18"/>
                <w:szCs w:val="18"/>
              </w:rPr>
              <w:t>Total</w:t>
            </w:r>
          </w:p>
        </w:tc>
        <w:tc>
          <w:tcPr>
            <w:shd w:val="clear" w:color="auto" w:fill="auto"/>
          </w:tcPr>
          <w:p w:rsidR="008D5009" w:rsidRPr="006665E6" w:rsidP="00426349">
            <w:pPr>
              <w:spacing w:before="0" w:after="0"/>
              <w:jc w:val="right"/>
              <w:rPr>
                <w:sz w:val="18"/>
                <w:szCs w:val="18"/>
              </w:rPr>
            </w:pPr>
            <w:r w:rsidRPr="006665E6">
              <w:rPr>
                <w:b/>
                <w:noProof/>
                <w:sz w:val="18"/>
                <w:szCs w:val="18"/>
              </w:rPr>
              <w:t>0.00</w:t>
            </w:r>
          </w:p>
        </w:tc>
        <w:tc>
          <w:tcPr>
            <w:shd w:val="clear" w:color="auto" w:fill="auto"/>
          </w:tcPr>
          <w:p w:rsidR="008D5009" w:rsidRPr="006665E6" w:rsidP="00426349">
            <w:pPr>
              <w:spacing w:before="0" w:after="0"/>
              <w:jc w:val="right"/>
              <w:rPr>
                <w:b/>
                <w:sz w:val="18"/>
                <w:szCs w:val="18"/>
              </w:rPr>
            </w:pPr>
            <w:r w:rsidRPr="006665E6">
              <w:rPr>
                <w:b/>
                <w:noProof/>
                <w:sz w:val="18"/>
                <w:szCs w:val="18"/>
              </w:rPr>
              <w:t>0.00%</w:t>
            </w:r>
            <w:r w:rsidRPr="006665E6">
              <w:rPr>
                <w:sz w:val="18"/>
                <w:szCs w:val="18"/>
              </w:rPr>
              <w:t xml:space="preserve"> </w:t>
            </w:r>
          </w:p>
        </w:tc>
      </w:tr>
    </w:tbl>
    <w:p w:rsidR="008D5009" w:rsidP="008D5009">
      <w:pPr>
        <w:spacing w:before="0" w:after="0"/>
        <w:sectPr w:rsidSect="00426349">
          <w:pgSz w:w="16838" w:h="11906" w:orient="landscape"/>
          <w:pgMar w:top="1584" w:right="1022" w:bottom="1699" w:left="1022" w:header="283" w:footer="283" w:gutter="0"/>
          <w:cols w:space="708"/>
          <w:docGrid w:linePitch="360"/>
        </w:sectPr>
      </w:pPr>
    </w:p>
    <w:p w:rsidR="008D5009" w:rsidP="008D5009">
      <w:pPr>
        <w:pStyle w:val="Heading1"/>
        <w:numPr>
          <w:ilvl w:val="0"/>
          <w:numId w:val="0"/>
        </w:numPr>
        <w:spacing w:before="0" w:after="0"/>
        <w:ind w:left="850" w:hanging="850"/>
      </w:pPr>
      <w:bookmarkStart w:id="130" w:name="_Toc256000099"/>
      <w:r>
        <w:rPr>
          <w:noProof/>
        </w:rPr>
        <w:t>4. INTEGRATED APPROACH TO TERRITORIAL DEVELOPMENT</w:t>
      </w:r>
      <w:bookmarkEnd w:id="130"/>
    </w:p>
    <w:p w:rsidR="008D5009" w:rsidP="008D5009">
      <w:pPr>
        <w:spacing w:before="0" w:after="0"/>
      </w:pPr>
      <w:r>
        <w:rPr>
          <w:noProof/>
        </w:rPr>
        <w:t>Description of the integrated approach to territorial development taking into account the content and objectives of the operational programme having regard to the Partnership Agreement and showing how it the operational programme contributes to the accomplishment of the objectives of the operational programme and expected results</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Plecând de la elementele strategice menționate în strategiile de dezvoltare a României (Strategia de Dezvoltare Spațială și Strategia Națională pentru Dezvoltare Rurală), de la potențialul identificat și disparitățile teritoriale, următoarele priorități de dezvoltare teritorială sunt avute în vedere pentru perioada 2014 – 2020: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(1) Îmbunătățirea calității vieții pentru comunitățile locale și regionale, pentru ca regiunile României să devină mai atractive pentru locuit, pentru petrecerea timpului liber, pentru investiții și muncă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(2) Promovarea parteneriatelor rural-urbane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(3) Consolidarea rețelei urbane prin dezvoltare policentrică și specializare teritorială;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(4) Creșterea accesibilității și conectivității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(5) Acces echitabil la servicii de interes general.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România va folosi instrumentul ITI în Rezervația Biosferei Delta Dunării (un teritoriu unic cu funcții foarte specifice: populație rară și izolată, specializare și vulnerabilitate economică, acces nesatisfăcător la servicii etc.). Elaborarea strategiei integrate pentru această zonă a început cu ajutorul Băncii Mondiale și al autorităților locale competente. Strategia va fi implementată printr-un plan de acțiune elaborat tot cu ajutorul Băncii Mondiale, ce va include intervențiile propuse și mecanismele de implementare. Astfel abordarea ITI în Rezervația Biosferei Delta Dunării urmează obiectivele și țintele stabilite în planul de acțiuni construit prin SUERD.</w:t>
      </w:r>
    </w:p>
    <w:p w:rsidR="008D5009" w:rsidRPr="00DC028E" w:rsidP="008D5009">
      <w:pPr>
        <w:spacing w:before="0" w:after="0"/>
      </w:pPr>
    </w:p>
    <w:p w:rsidR="008D5009" w:rsidRPr="008C3C44" w:rsidP="008D5009">
      <w:pPr>
        <w:pStyle w:val="Heading2"/>
        <w:keepLines/>
        <w:numPr>
          <w:ilvl w:val="0"/>
          <w:numId w:val="0"/>
        </w:numPr>
        <w:spacing w:before="0" w:after="0"/>
        <w:ind w:left="850" w:hanging="850"/>
        <w:rPr>
          <w:b w:val="0"/>
        </w:rPr>
      </w:pPr>
      <w:bookmarkStart w:id="131" w:name="_Toc256000100"/>
      <w:r>
        <w:rPr>
          <w:noProof/>
        </w:rPr>
        <w:t>4.1 Community-led local development</w:t>
      </w:r>
      <w:bookmarkStart w:id="132" w:name="_Toc512434588"/>
      <w:bookmarkStart w:id="133" w:name="_Toc25666862"/>
      <w:bookmarkStart w:id="134" w:name="_Toc27646469"/>
      <w:r>
        <w:rPr>
          <w:b w:val="0"/>
        </w:rPr>
        <w:t xml:space="preserve"> </w:t>
      </w:r>
      <w:r>
        <w:rPr>
          <w:b w:val="0"/>
          <w:noProof/>
        </w:rPr>
        <w:t>(where appropriate)</w:t>
      </w:r>
      <w:bookmarkEnd w:id="131"/>
      <w:bookmarkEnd w:id="132"/>
      <w:bookmarkEnd w:id="133"/>
      <w:bookmarkEnd w:id="134"/>
    </w:p>
    <w:p w:rsidR="008D5009" w:rsidRPr="00BF3391" w:rsidP="008D5009">
      <w:pPr>
        <w:keepNext/>
        <w:keepLines/>
        <w:spacing w:before="0" w:after="0"/>
      </w:pPr>
      <w:r>
        <w:rPr>
          <w:noProof/>
        </w:rPr>
        <w:t>The approach to the use of community-led local development instruments and the principles for identifying the areas in where they will be implemented</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N/A</w:t>
      </w:r>
    </w:p>
    <w:p w:rsidR="008D5009" w:rsidP="008D5009">
      <w:pPr>
        <w:spacing w:before="0" w:after="0"/>
      </w:pPr>
    </w:p>
    <w:p w:rsidR="008D5009" w:rsidP="008D5009">
      <w:pPr>
        <w:spacing w:before="0" w:after="0"/>
      </w:pPr>
    </w:p>
    <w:p w:rsidR="008D5009" w:rsidRPr="008C3C44" w:rsidP="008D5009">
      <w:pPr>
        <w:pStyle w:val="Heading2"/>
        <w:keepLines/>
        <w:numPr>
          <w:ilvl w:val="0"/>
          <w:numId w:val="0"/>
        </w:numPr>
        <w:spacing w:before="0" w:after="0"/>
        <w:ind w:left="850" w:hanging="850"/>
        <w:rPr>
          <w:b w:val="0"/>
        </w:rPr>
      </w:pPr>
      <w:bookmarkStart w:id="135" w:name="_Toc256000101"/>
      <w:r>
        <w:rPr>
          <w:noProof/>
        </w:rPr>
        <w:t>4.2 Integrated actions for sustainable urban development</w:t>
      </w:r>
      <w:bookmarkStart w:id="136" w:name="_Toc512434589"/>
      <w:bookmarkStart w:id="137" w:name="_Toc25666863"/>
      <w:bookmarkStart w:id="138" w:name="_Toc27646470"/>
      <w:r>
        <w:rPr>
          <w:b w:val="0"/>
        </w:rPr>
        <w:t xml:space="preserve"> </w:t>
      </w:r>
      <w:r>
        <w:rPr>
          <w:b w:val="0"/>
          <w:noProof/>
        </w:rPr>
        <w:t>(where appropriate)</w:t>
      </w:r>
      <w:bookmarkEnd w:id="135"/>
      <w:bookmarkEnd w:id="136"/>
      <w:bookmarkEnd w:id="137"/>
      <w:bookmarkEnd w:id="138"/>
    </w:p>
    <w:p w:rsidR="008D5009" w:rsidP="008D5009">
      <w:pPr>
        <w:keepNext/>
        <w:keepLines/>
        <w:spacing w:before="0" w:after="0"/>
      </w:pPr>
      <w:r>
        <w:rPr>
          <w:noProof/>
        </w:rPr>
        <w:t>Where appropriate the indicative amount of ERDF support for integrated actions for sustainable urban development to be implemented in accordance with the provisions under Article 7(2) of Regulation (EU) No 1301/2013 and the indicative allocation of ESF support for integrated action.</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N/A</w:t>
      </w:r>
    </w:p>
    <w:p w:rsidR="008D5009" w:rsidP="008D5009">
      <w:pPr>
        <w:spacing w:before="0" w:after="0"/>
      </w:pPr>
    </w:p>
    <w:p w:rsidR="008D5009" w:rsidP="008D5009">
      <w:pPr>
        <w:spacing w:before="0" w:after="0"/>
        <w:rPr>
          <w:b/>
        </w:rPr>
        <w:sectPr w:rsidSect="00426349">
          <w:headerReference w:type="default" r:id="rId15"/>
          <w:footerReference w:type="default" r:id="rId16"/>
          <w:headerReference w:type="first" r:id="rId17"/>
          <w:footerReference w:type="first" r:id="rId18"/>
          <w:pgSz w:w="11906" w:h="16838"/>
          <w:pgMar w:top="1022" w:right="1699" w:bottom="1022" w:left="1584" w:header="283" w:footer="283" w:gutter="0"/>
          <w:cols w:space="708"/>
          <w:docGrid w:linePitch="360"/>
        </w:sectPr>
      </w:pPr>
    </w:p>
    <w:p w:rsidR="008D5009" w:rsidRPr="00942CBA" w:rsidP="008D5009">
      <w:pPr>
        <w:spacing w:before="0" w:after="0"/>
        <w:rPr>
          <w:b/>
        </w:rPr>
      </w:pPr>
      <w:r>
        <w:rPr>
          <w:b/>
          <w:noProof/>
        </w:rPr>
        <w:t>Table 20: Integrated actions for sustainable urban development – indicative amounts of ERDF and ESF support</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9"/>
        <w:gridCol w:w="2910"/>
        <w:gridCol w:w="3725"/>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031FFA" w:rsidP="00426349">
            <w:pPr>
              <w:pStyle w:val="ListDash"/>
              <w:numPr>
                <w:ilvl w:val="0"/>
                <w:numId w:val="0"/>
              </w:numPr>
              <w:spacing w:before="96" w:beforeLines="40" w:after="96" w:afterLines="40"/>
              <w:jc w:val="center"/>
              <w:rPr>
                <w:b/>
                <w:color w:val="FF0000"/>
                <w:sz w:val="20"/>
              </w:rPr>
            </w:pPr>
            <w:r w:rsidRPr="00031FFA">
              <w:rPr>
                <w:b/>
                <w:noProof/>
                <w:sz w:val="20"/>
              </w:rPr>
              <w:t>Fund</w:t>
            </w:r>
          </w:p>
        </w:tc>
        <w:tc>
          <w:tcPr>
            <w:shd w:val="clear" w:color="auto" w:fill="auto"/>
          </w:tcPr>
          <w:p w:rsidR="008D5009" w:rsidRPr="008C3C44" w:rsidP="00426349">
            <w:pPr>
              <w:pStyle w:val="ListDash"/>
              <w:numPr>
                <w:ilvl w:val="0"/>
                <w:numId w:val="0"/>
              </w:numPr>
              <w:spacing w:before="96" w:beforeLines="40" w:after="96" w:afterLines="40"/>
              <w:jc w:val="center"/>
              <w:rPr>
                <w:b/>
                <w:color w:val="FF0000"/>
                <w:sz w:val="20"/>
              </w:rPr>
            </w:pPr>
            <w:r w:rsidRPr="008C3C44">
              <w:rPr>
                <w:b/>
                <w:noProof/>
                <w:sz w:val="20"/>
              </w:rPr>
              <w:t>ERDF and ESF support (indicative) (€)</w:t>
            </w:r>
          </w:p>
        </w:tc>
        <w:tc>
          <w:tcPr>
            <w:shd w:val="clear" w:color="auto" w:fill="auto"/>
          </w:tcPr>
          <w:p w:rsidR="008D5009" w:rsidRPr="008C3C44" w:rsidP="00426349">
            <w:pPr>
              <w:pStyle w:val="ListDash"/>
              <w:numPr>
                <w:ilvl w:val="0"/>
                <w:numId w:val="0"/>
              </w:numPr>
              <w:spacing w:before="96" w:beforeLines="40" w:after="96" w:afterLines="40"/>
              <w:jc w:val="center"/>
              <w:rPr>
                <w:b/>
                <w:color w:val="FF0000"/>
                <w:sz w:val="20"/>
              </w:rPr>
            </w:pPr>
            <w:r w:rsidRPr="008C3C44">
              <w:rPr>
                <w:b/>
                <w:noProof/>
                <w:sz w:val="20"/>
              </w:rPr>
              <w:t>Proportion of fund’s total allocation to programme</w:t>
            </w:r>
          </w:p>
        </w:tc>
      </w:tr>
      <w:tr w:rsidTr="00426349">
        <w:tblPrEx>
          <w:tblW w:w="5000" w:type="pct"/>
          <w:tblLook w:val="04A0"/>
        </w:tblPrEx>
        <w:tc>
          <w:tcPr>
            <w:shd w:val="clear" w:color="auto" w:fill="auto"/>
          </w:tcPr>
          <w:p w:rsidR="008D5009" w:rsidRPr="008C3C44" w:rsidP="00426349">
            <w:pPr>
              <w:spacing w:before="0" w:after="0"/>
              <w:rPr>
                <w:sz w:val="20"/>
              </w:rPr>
            </w:pPr>
            <w:r w:rsidRPr="008C3C44">
              <w:rPr>
                <w:noProof/>
              </w:rPr>
              <w:t>Total</w:t>
            </w:r>
            <w:r w:rsidRPr="008C3C44">
              <w:t xml:space="preserve"> </w:t>
            </w:r>
            <w:r w:rsidRPr="008C3C44">
              <w:rPr>
                <w:noProof/>
              </w:rPr>
              <w:t>ERDF</w:t>
            </w:r>
          </w:p>
        </w:tc>
        <w:tc>
          <w:tcPr>
            <w:shd w:val="clear" w:color="auto" w:fill="auto"/>
          </w:tcPr>
          <w:p w:rsidR="008D5009" w:rsidRPr="00004FE2" w:rsidP="00426349">
            <w:pPr>
              <w:spacing w:before="0" w:after="0"/>
              <w:jc w:val="right"/>
            </w:pPr>
            <w:r w:rsidRPr="00004FE2">
              <w:rPr>
                <w:noProof/>
              </w:rPr>
              <w:t>0.00</w:t>
            </w:r>
          </w:p>
        </w:tc>
        <w:tc>
          <w:tcPr>
            <w:shd w:val="clear" w:color="auto" w:fill="auto"/>
          </w:tcPr>
          <w:p w:rsidR="008D5009" w:rsidRPr="00004FE2" w:rsidP="00426349">
            <w:pPr>
              <w:spacing w:before="0" w:after="0"/>
              <w:jc w:val="right"/>
            </w:pPr>
            <w:r>
              <w:rPr>
                <w:noProof/>
              </w:rPr>
              <w:t>0.00%</w:t>
            </w:r>
          </w:p>
        </w:tc>
      </w:tr>
      <w:tr w:rsidTr="00426349">
        <w:tblPrEx>
          <w:tblW w:w="5000" w:type="pct"/>
          <w:tblLook w:val="04A0"/>
        </w:tblPrEx>
        <w:tc>
          <w:tcPr>
            <w:shd w:val="clear" w:color="auto" w:fill="auto"/>
          </w:tcPr>
          <w:p w:rsidR="008D5009" w:rsidRPr="008C3C44" w:rsidP="00426349">
            <w:pPr>
              <w:spacing w:before="0" w:after="0"/>
              <w:rPr>
                <w:sz w:val="20"/>
              </w:rPr>
            </w:pPr>
            <w:r w:rsidRPr="008C3C44">
              <w:rPr>
                <w:b/>
                <w:noProof/>
              </w:rPr>
              <w:t>TOTAL ERDF+ESF</w:t>
            </w:r>
            <w:r w:rsidRPr="008C3C44">
              <w:t xml:space="preserve"> </w:t>
            </w:r>
          </w:p>
        </w:tc>
        <w:tc>
          <w:tcPr>
            <w:shd w:val="clear" w:color="auto" w:fill="auto"/>
          </w:tcPr>
          <w:p w:rsidR="008D5009" w:rsidRPr="00004FE2" w:rsidP="00426349">
            <w:pPr>
              <w:spacing w:before="0" w:after="0"/>
              <w:jc w:val="right"/>
            </w:pPr>
            <w:r w:rsidRPr="00031FFA">
              <w:rPr>
                <w:b/>
                <w:noProof/>
              </w:rPr>
              <w:t>0.00</w:t>
            </w:r>
          </w:p>
        </w:tc>
        <w:tc>
          <w:tcPr>
            <w:shd w:val="clear" w:color="auto" w:fill="auto"/>
          </w:tcPr>
          <w:p w:rsidR="008D5009" w:rsidRPr="00004FE2" w:rsidP="00426349">
            <w:pPr>
              <w:spacing w:before="0" w:after="0"/>
              <w:jc w:val="right"/>
            </w:pPr>
            <w:r>
              <w:rPr>
                <w:b/>
                <w:noProof/>
              </w:rPr>
              <w:t>0.00%</w:t>
            </w:r>
          </w:p>
        </w:tc>
      </w:tr>
    </w:tbl>
    <w:p w:rsidR="008D5009" w:rsidP="008D5009">
      <w:pPr>
        <w:spacing w:before="0" w:after="0"/>
        <w:rPr>
          <w:lang w:val="en"/>
        </w:rPr>
      </w:pPr>
    </w:p>
    <w:p w:rsidR="008D5009" w:rsidRPr="008C3C44" w:rsidP="008D5009">
      <w:pPr>
        <w:pStyle w:val="Heading2"/>
        <w:keepLines/>
        <w:numPr>
          <w:ilvl w:val="0"/>
          <w:numId w:val="0"/>
        </w:numPr>
        <w:spacing w:before="0" w:after="0"/>
        <w:rPr>
          <w:b w:val="0"/>
          <w:color w:val="000000"/>
          <w:sz w:val="22"/>
          <w:szCs w:val="22"/>
          <w:lang w:val="en"/>
        </w:rPr>
      </w:pPr>
      <w:bookmarkStart w:id="139" w:name="_Toc256000102"/>
      <w:r w:rsidRPr="004D1171">
        <w:rPr>
          <w:noProof/>
          <w:color w:val="000000"/>
          <w:lang w:val="en"/>
        </w:rPr>
        <w:t>4.3 Integrated Territorial Investment (ITI)</w:t>
      </w:r>
      <w:bookmarkStart w:id="140" w:name="_Toc512434590"/>
      <w:bookmarkStart w:id="141" w:name="_Toc25666864"/>
      <w:bookmarkStart w:id="142" w:name="_Toc27646471"/>
      <w:r>
        <w:rPr>
          <w:b w:val="0"/>
          <w:color w:val="000000"/>
          <w:lang w:val="en"/>
        </w:rPr>
        <w:t xml:space="preserve"> </w:t>
      </w:r>
      <w:r>
        <w:rPr>
          <w:b w:val="0"/>
          <w:noProof/>
          <w:color w:val="000000"/>
          <w:lang w:val="en"/>
        </w:rPr>
        <w:t>(where appropriate)</w:t>
      </w:r>
      <w:bookmarkEnd w:id="139"/>
      <w:bookmarkEnd w:id="140"/>
      <w:bookmarkEnd w:id="141"/>
      <w:bookmarkEnd w:id="142"/>
    </w:p>
    <w:p w:rsidR="008D5009" w:rsidP="008D5009">
      <w:pPr>
        <w:keepNext/>
        <w:keepLines/>
        <w:spacing w:before="0" w:after="0"/>
      </w:pPr>
      <w:r>
        <w:rPr>
          <w:noProof/>
        </w:rPr>
        <w:t>The approach to the use of Integrated Territorial Investments (ITIs) (as defined in Article 36 of Regulation (EU) No 1303/2013) other than in cases covered by 4.2, and their indicative financial allocation from each priority axis.</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Instrumentul ITI va fi utilizat într-un areal format din 38 de unități administrativ teritoriale din cadrul Rezervației Biosfera Delta Dunării, Județul Tulcea și nordul Județului Constanța.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Această zonă reprezintă pentru România un obiectiv de interes naţional (Delta Dunării fiind o zona cu o importantă valoare ecologică şi cu o biodiversitate unică în Europa, precum și un obiectiv turistic de valoare internaţională). În acelaşi timp, din cauza condiţiilor specifice acestui teritoriu (populatie scăzută ca număr/dispersată/izolată, acces nesatisfăcător la servicii, vulnerabilitate din punct de vedere al gradului de dezvoltare economică) şi a unor politici de dezvoltare deficitare, această zonă este şi una din zonele sărace din România şi din Europa.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Instrumentul ITI va contribui la dezvoltarea socio-economică a regiunii prin promovarea unei economii bazate pe cunoaştere, prin ridicarea gradului de educaţie şi pregătire profesională a comunităţilor locale, prin crearea de noi locuri de muncă.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Strategia durabilă integrată pentru Delta Dunării 2030 (SIDD), elaborată cu sprijinul Băncii Mondiale, va fi finalizată în prima jumătate a anului 2015 și va orienta dezvoltarea acestei zone utilizând instrumentul ITI, precum și alte resurse financiare.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Intervențiile finanțate din POC se vor realiza în strânsă legătură cu celelalte programe (POR, POCA, POIM, PNDR), care vor trata intersectorial nevoile de dezvoltare locală ale teritoriul ITI Delta Dunării. În acest scop se implementează un mecanism de coordonarea între principalele entități care împart responsabilități comune privind implementarea SIDD:</w:t>
      </w:r>
    </w:p>
    <w:p>
      <w:pPr>
        <w:numPr>
          <w:ilvl w:val="0"/>
          <w:numId w:val="5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MFE - coordonator național al Fondurilor Structurale Europene de Investiții 2014-2020, precum și AM pentru POCU, POC, POIM şi POAT</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MDRAP - autoritate națională responsabilă de elaborarea/monitorizarea implementării SIDD, precum și AM pentru POR, POCA şi pentru Programele Europene de Cooperare Teritorială;</w:t>
      </w:r>
    </w:p>
    <w:p>
      <w:pPr>
        <w:numPr>
          <w:ilvl w:val="0"/>
          <w:numId w:val="5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MADR - autoritate națională responsabilă de coordonarea procesului de implementare a Politicii Agricole Comune şi a Politicii Comune de Piscicultură, precum şi AM pentru PNDR 2014-2020 şi POPAM.</w:t>
      </w:r>
    </w:p>
    <w:p>
      <w:pPr>
        <w:numPr>
          <w:ilvl w:val="0"/>
          <w:numId w:val="5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ADI – ITI DD - coordonator pentru implementarea Planului de Acțiune a SIDD, inclusiv în ceea ce privește acordarea de sprijin beneficiarilor locali (Autorități Locale, instituțiile private şi publice, membrii şi non-membrii) pentru dezvoltarea de proiecte, avizarea proiectelor pregătite din punct de vedere al relevanței pentru obiectivele SIDD.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Coordonarea finanțărilor acordate din FESI 2014-2020 va fi realizată, la nivel operațional, în cadrul Grupului de Lucru Funcțional ITI Delta Dunării (GLF ITI), (conform AP, cap. 2.1), grup care va reuni reprezentanti ai AM, ADI – ITI DD, alti parteneri relevanți pentru atingerea obiectivelor SIDD.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Dezvoltarea sectorului de CDI va contribui la revitalizarea zonei prin abordarea domeniilor care pot contribui la reconstrucția și utilizarea durabilă a biodiversității și a resurselor naturale ale teritoriului. Este vizată atragerea şi menţinerea de resurse umane valoroase în inovare şi cercetare, în special în cadrul agenților economici care acționează în zonă, precum și sprijinirea acestora în vederea dezvoltării de noi produse, procese, servicii noi sau îmbunătățite, direct sau în parteneriat cu institute CD sau universități.  De asemenea se urmărește dezvoltarea capacității de cercetare în corelare cu dezvoltarea infrastructurii de CDI, promovarea centrelor de competență, în special a celor de interes European, şi care asigură, în acelaşi timp şi protecţia mediului.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Astfel POC, prin AP1, alocă 40 milioane euro FEDR pentru nevoile specifice în domeniul CDI, incluzând proiectul pregătitor pentru DANUBIUS-RI, contribuind de asemenea la dezvoltarea zonei.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ceea ce privește domeniul tehnologia informației și a comunicațiilor, investițiile în acest areal pot contribui semnificativ la creșterea competitivităţii economice și promovarea interacţiunilor dintre sectorul public și întreprinderi/cetăţeni prin valorificarea potenţialului TIC și a aplicaţiilor sale, dezvoltarea infrastructurii informaţionale şi de telecomunicaţii şi facilitarea accesului la serviciile IT, dezvoltarea infrastructurii în bandă largă de mare viteză, crearea de servicii informatice moderne, susţinerea sistemelor productive inovatoare în procesul administrativ, servicii de e-sanătate. Suma alocată este de 20 milioane euro și este destinată conectării NGN a zonelor albe din cadrul ITI si altor proiecte de telemedicina, e-educatie.</w:t>
      </w:r>
    </w:p>
    <w:p w:rsidR="008D5009" w:rsidP="008D5009">
      <w:pPr>
        <w:spacing w:before="0" w:after="0"/>
      </w:pPr>
    </w:p>
    <w:p w:rsidR="008D5009" w:rsidRPr="00DC028E" w:rsidP="008D5009">
      <w:pPr>
        <w:spacing w:before="0" w:after="0"/>
      </w:pPr>
    </w:p>
    <w:p w:rsidR="008D5009" w:rsidP="008D5009">
      <w:pPr>
        <w:keepNext/>
        <w:keepLines/>
        <w:spacing w:before="0" w:after="0"/>
        <w:rPr>
          <w:b/>
        </w:rPr>
      </w:pPr>
      <w:r>
        <w:rPr>
          <w:b/>
          <w:noProof/>
        </w:rPr>
        <w:t>Table 21: Indicative financial allocation to ITI other than those mentioned under point 4.2</w:t>
      </w:r>
      <w:r>
        <w:rPr>
          <w:b/>
        </w:rPr>
        <w:t xml:space="preserve"> </w:t>
      </w:r>
      <w:r w:rsidRPr="00134BEA">
        <w:rPr>
          <w:noProof/>
        </w:rPr>
        <w:t>(aggregate amount)</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7"/>
        <w:gridCol w:w="798"/>
        <w:gridCol w:w="2177"/>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170"/>
          <w:tblHeader/>
        </w:trPr>
        <w:tc>
          <w:tcPr>
            <w:shd w:val="clear" w:color="auto" w:fill="auto"/>
          </w:tcPr>
          <w:p w:rsidR="008D5009" w:rsidRPr="00DC028E" w:rsidP="00426349">
            <w:pPr>
              <w:tabs>
                <w:tab w:val="left" w:pos="3237"/>
              </w:tabs>
              <w:suppressAutoHyphens/>
              <w:spacing w:before="0" w:after="0" w:line="480" w:lineRule="auto"/>
              <w:jc w:val="center"/>
              <w:rPr>
                <w:sz w:val="22"/>
                <w:szCs w:val="22"/>
                <w:lang w:eastAsia="ar-SA"/>
              </w:rPr>
            </w:pPr>
            <w:r>
              <w:rPr>
                <w:b/>
                <w:noProof/>
                <w:sz w:val="22"/>
                <w:szCs w:val="22"/>
                <w:lang w:eastAsia="ar-SA"/>
              </w:rPr>
              <w:t>Priority axis</w:t>
            </w:r>
          </w:p>
        </w:tc>
        <w:tc>
          <w:tcPr>
            <w:shd w:val="clear" w:color="auto" w:fill="auto"/>
          </w:tcPr>
          <w:p w:rsidR="008D5009" w:rsidRPr="00DC028E" w:rsidP="00426349">
            <w:pPr>
              <w:tabs>
                <w:tab w:val="left" w:pos="3237"/>
              </w:tabs>
              <w:suppressAutoHyphens/>
              <w:spacing w:before="0" w:after="0"/>
              <w:jc w:val="center"/>
              <w:rPr>
                <w:sz w:val="22"/>
                <w:szCs w:val="22"/>
                <w:lang w:eastAsia="ar-SA"/>
              </w:rPr>
            </w:pPr>
            <w:r>
              <w:rPr>
                <w:b/>
                <w:noProof/>
                <w:sz w:val="22"/>
                <w:szCs w:val="22"/>
                <w:lang w:eastAsia="ar-SA"/>
              </w:rPr>
              <w:t>Fund</w:t>
            </w:r>
          </w:p>
        </w:tc>
        <w:tc>
          <w:tcPr>
            <w:shd w:val="clear" w:color="auto" w:fill="auto"/>
            <w:vAlign w:val="center"/>
          </w:tcPr>
          <w:p w:rsidR="008D5009" w:rsidRPr="00E52C4F" w:rsidP="00426349">
            <w:pPr>
              <w:tabs>
                <w:tab w:val="left" w:pos="3237"/>
              </w:tabs>
              <w:suppressAutoHyphens/>
              <w:spacing w:before="0" w:after="0"/>
              <w:jc w:val="center"/>
              <w:rPr>
                <w:b/>
                <w:sz w:val="22"/>
                <w:szCs w:val="22"/>
                <w:lang w:val="da-DK" w:eastAsia="ar-SA"/>
              </w:rPr>
            </w:pPr>
            <w:r w:rsidRPr="00E52C4F">
              <w:rPr>
                <w:b/>
                <w:noProof/>
                <w:sz w:val="22"/>
                <w:szCs w:val="22"/>
                <w:lang w:val="da-DK" w:eastAsia="ar-SA"/>
              </w:rPr>
              <w:t>Indicative financial allocation (Union support) (€)</w:t>
            </w:r>
          </w:p>
        </w:tc>
      </w:tr>
      <w:tr w:rsidTr="00426349">
        <w:tblPrEx>
          <w:tblW w:w="5000" w:type="pct"/>
          <w:tblLook w:val="04A0"/>
        </w:tblPrEx>
        <w:trPr>
          <w:trHeight w:val="156"/>
        </w:trPr>
        <w:tc>
          <w:tcPr>
            <w:shd w:val="clear" w:color="auto" w:fill="auto"/>
            <w:vAlign w:val="center"/>
          </w:tcPr>
          <w:p w:rsidR="008D5009" w:rsidRPr="00F4063B" w:rsidP="00426349">
            <w:pPr>
              <w:tabs>
                <w:tab w:val="left" w:pos="3237"/>
              </w:tabs>
              <w:suppressAutoHyphens/>
              <w:spacing w:before="0" w:after="0"/>
              <w:rPr>
                <w:sz w:val="22"/>
                <w:szCs w:val="22"/>
                <w:lang w:val="da-DK" w:eastAsia="ar-SA"/>
              </w:rPr>
            </w:pPr>
            <w:r>
              <w:rPr>
                <w:noProof/>
                <w:sz w:val="22"/>
                <w:szCs w:val="22"/>
                <w:lang w:val="da-DK" w:eastAsia="ar-SA"/>
              </w:rPr>
              <w:t xml:space="preserve">AP1 - </w:t>
            </w:r>
            <w:r w:rsidRPr="00F4063B">
              <w:rPr>
                <w:noProof/>
                <w:sz w:val="22"/>
                <w:szCs w:val="22"/>
                <w:lang w:val="da-DK" w:eastAsia="ar-SA"/>
              </w:rPr>
              <w:t>Cercetare, dezvoltare tehnologica si inovare (CDI) in sprijinul competitivitatii economice si dezvoltarii afacerilor</w:t>
            </w:r>
          </w:p>
        </w:tc>
        <w:tc>
          <w:tcPr>
            <w:shd w:val="clear" w:color="auto" w:fill="auto"/>
            <w:vAlign w:val="center"/>
          </w:tcPr>
          <w:p w:rsidR="008D5009" w:rsidRPr="00DC028E" w:rsidP="00426349">
            <w:pPr>
              <w:tabs>
                <w:tab w:val="left" w:pos="3237"/>
              </w:tabs>
              <w:suppressAutoHyphens/>
              <w:spacing w:before="0" w:after="0"/>
              <w:rPr>
                <w:sz w:val="22"/>
                <w:szCs w:val="22"/>
                <w:lang w:eastAsia="ar-SA"/>
              </w:rPr>
            </w:pPr>
            <w:r>
              <w:rPr>
                <w:noProof/>
                <w:sz w:val="22"/>
                <w:szCs w:val="22"/>
                <w:lang w:eastAsia="ar-SA"/>
              </w:rPr>
              <w:t>ERDF</w:t>
            </w:r>
          </w:p>
        </w:tc>
        <w:tc>
          <w:tcPr>
            <w:shd w:val="clear" w:color="auto" w:fill="auto"/>
            <w:vAlign w:val="center"/>
          </w:tcPr>
          <w:p w:rsidR="008D5009" w:rsidRPr="00DC028E" w:rsidP="00426349">
            <w:pPr>
              <w:tabs>
                <w:tab w:val="left" w:pos="3237"/>
              </w:tabs>
              <w:suppressAutoHyphens/>
              <w:spacing w:before="0" w:after="0"/>
              <w:jc w:val="right"/>
              <w:rPr>
                <w:sz w:val="22"/>
                <w:szCs w:val="22"/>
                <w:lang w:eastAsia="ar-SA"/>
              </w:rPr>
            </w:pPr>
            <w:r>
              <w:rPr>
                <w:noProof/>
                <w:sz w:val="22"/>
                <w:szCs w:val="22"/>
                <w:lang w:eastAsia="ar-SA"/>
              </w:rPr>
              <w:t>40,000,000.00</w:t>
            </w:r>
          </w:p>
        </w:tc>
      </w:tr>
      <w:tr w:rsidTr="00426349">
        <w:tblPrEx>
          <w:tblW w:w="5000" w:type="pct"/>
          <w:tblLook w:val="04A0"/>
        </w:tblPrEx>
        <w:trPr>
          <w:trHeight w:val="156"/>
        </w:trPr>
        <w:tc>
          <w:tcPr>
            <w:shd w:val="clear" w:color="auto" w:fill="auto"/>
            <w:vAlign w:val="center"/>
          </w:tcPr>
          <w:p w:rsidR="008D5009" w:rsidRPr="00F4063B" w:rsidP="00426349">
            <w:pPr>
              <w:tabs>
                <w:tab w:val="left" w:pos="3237"/>
              </w:tabs>
              <w:suppressAutoHyphens/>
              <w:spacing w:before="0" w:after="0"/>
              <w:rPr>
                <w:sz w:val="22"/>
                <w:szCs w:val="22"/>
                <w:lang w:val="da-DK" w:eastAsia="ar-SA"/>
              </w:rPr>
            </w:pPr>
            <w:r>
              <w:rPr>
                <w:noProof/>
                <w:sz w:val="22"/>
                <w:szCs w:val="22"/>
                <w:lang w:val="da-DK" w:eastAsia="ar-SA"/>
              </w:rPr>
              <w:t xml:space="preserve">AP2 - </w:t>
            </w:r>
            <w:r w:rsidRPr="00F4063B">
              <w:rPr>
                <w:noProof/>
                <w:sz w:val="22"/>
                <w:szCs w:val="22"/>
                <w:lang w:val="da-DK" w:eastAsia="ar-SA"/>
              </w:rPr>
              <w:t>Tehnologia informatiei si comunicatiilor (TIC) pentru o economie digitala competitiva</w:t>
            </w:r>
          </w:p>
        </w:tc>
        <w:tc>
          <w:tcPr>
            <w:shd w:val="clear" w:color="auto" w:fill="auto"/>
            <w:vAlign w:val="center"/>
          </w:tcPr>
          <w:p w:rsidR="008D5009" w:rsidRPr="00DC028E" w:rsidP="00426349">
            <w:pPr>
              <w:tabs>
                <w:tab w:val="left" w:pos="3237"/>
              </w:tabs>
              <w:suppressAutoHyphens/>
              <w:spacing w:before="0" w:after="0"/>
              <w:rPr>
                <w:sz w:val="22"/>
                <w:szCs w:val="22"/>
                <w:lang w:eastAsia="ar-SA"/>
              </w:rPr>
            </w:pPr>
            <w:r>
              <w:rPr>
                <w:noProof/>
                <w:sz w:val="22"/>
                <w:szCs w:val="22"/>
                <w:lang w:eastAsia="ar-SA"/>
              </w:rPr>
              <w:t>ERDF</w:t>
            </w:r>
          </w:p>
        </w:tc>
        <w:tc>
          <w:tcPr>
            <w:shd w:val="clear" w:color="auto" w:fill="auto"/>
            <w:vAlign w:val="center"/>
          </w:tcPr>
          <w:p w:rsidR="008D5009" w:rsidRPr="00DC028E" w:rsidP="00426349">
            <w:pPr>
              <w:tabs>
                <w:tab w:val="left" w:pos="3237"/>
              </w:tabs>
              <w:suppressAutoHyphens/>
              <w:spacing w:before="0" w:after="0"/>
              <w:jc w:val="right"/>
              <w:rPr>
                <w:sz w:val="22"/>
                <w:szCs w:val="22"/>
                <w:lang w:eastAsia="ar-SA"/>
              </w:rPr>
            </w:pPr>
            <w:r>
              <w:rPr>
                <w:noProof/>
                <w:sz w:val="22"/>
                <w:szCs w:val="22"/>
                <w:lang w:eastAsia="ar-SA"/>
              </w:rPr>
              <w:t>20,000,000.00</w:t>
            </w:r>
          </w:p>
        </w:tc>
      </w:tr>
      <w:tr w:rsidTr="00426349">
        <w:tblPrEx>
          <w:tblW w:w="5000" w:type="pct"/>
          <w:tblLook w:val="04A0"/>
        </w:tblPrEx>
        <w:trPr>
          <w:trHeight w:val="156"/>
        </w:trPr>
        <w:tc>
          <w:tcPr>
            <w:shd w:val="clear" w:color="auto" w:fill="auto"/>
            <w:vAlign w:val="center"/>
          </w:tcPr>
          <w:p w:rsidR="008D5009" w:rsidRPr="00F4063B" w:rsidP="00426349">
            <w:pPr>
              <w:tabs>
                <w:tab w:val="left" w:pos="3237"/>
              </w:tabs>
              <w:suppressAutoHyphens/>
              <w:spacing w:before="0" w:after="0"/>
              <w:rPr>
                <w:sz w:val="22"/>
                <w:szCs w:val="22"/>
                <w:lang w:val="da-DK" w:eastAsia="ar-SA"/>
              </w:rPr>
            </w:pPr>
            <w:r w:rsidRPr="00D472C5" w:rsidR="005944B6">
              <w:rPr>
                <w:noProof/>
                <w:sz w:val="22"/>
              </w:rPr>
              <w:t>Total</w:t>
            </w:r>
          </w:p>
        </w:tc>
        <w:tc>
          <w:tcPr>
            <w:shd w:val="clear" w:color="auto" w:fill="auto"/>
            <w:vAlign w:val="center"/>
          </w:tcPr>
          <w:p w:rsidR="008D5009" w:rsidRPr="00DC028E" w:rsidP="00426349">
            <w:pPr>
              <w:tabs>
                <w:tab w:val="left" w:pos="3237"/>
              </w:tabs>
              <w:suppressAutoHyphens/>
              <w:spacing w:before="0" w:after="0"/>
              <w:rPr>
                <w:sz w:val="22"/>
                <w:szCs w:val="22"/>
                <w:lang w:eastAsia="ar-SA"/>
              </w:rPr>
            </w:pPr>
          </w:p>
        </w:tc>
        <w:tc>
          <w:tcPr>
            <w:shd w:val="clear" w:color="auto" w:fill="auto"/>
            <w:vAlign w:val="center"/>
          </w:tcPr>
          <w:p w:rsidR="008D5009" w:rsidRPr="00DC028E" w:rsidP="00426349">
            <w:pPr>
              <w:tabs>
                <w:tab w:val="left" w:pos="3237"/>
              </w:tabs>
              <w:suppressAutoHyphens/>
              <w:spacing w:before="0" w:after="0"/>
              <w:jc w:val="right"/>
              <w:rPr>
                <w:sz w:val="22"/>
                <w:szCs w:val="22"/>
                <w:lang w:eastAsia="ar-SA"/>
              </w:rPr>
            </w:pPr>
            <w:r w:rsidRPr="004A4B51">
              <w:rPr>
                <w:b/>
                <w:noProof/>
                <w:sz w:val="22"/>
                <w:szCs w:val="22"/>
                <w:lang w:eastAsia="ar-SA"/>
              </w:rPr>
              <w:t>60,000,000.00</w:t>
            </w:r>
          </w:p>
        </w:tc>
      </w:tr>
    </w:tbl>
    <w:p w:rsidR="008D5009" w:rsidRPr="00DC028E" w:rsidP="008D5009">
      <w:pPr>
        <w:spacing w:before="0" w:after="0"/>
      </w:pPr>
    </w:p>
    <w:p w:rsidR="008D5009" w:rsidRPr="004D1171" w:rsidP="008D5009">
      <w:pPr>
        <w:pStyle w:val="Heading2"/>
        <w:numPr>
          <w:ilvl w:val="0"/>
          <w:numId w:val="0"/>
        </w:numPr>
        <w:spacing w:before="0" w:after="0"/>
        <w:rPr>
          <w:color w:val="000000"/>
          <w:sz w:val="22"/>
          <w:szCs w:val="22"/>
          <w:lang w:val="en"/>
        </w:rPr>
      </w:pPr>
      <w:bookmarkStart w:id="143" w:name="_Toc256000103"/>
      <w:r>
        <w:rPr>
          <w:noProof/>
          <w:color w:val="000000"/>
          <w:lang w:val="en"/>
        </w:rPr>
        <w:t>4.4 The arrangements for interregional and transnational actions, within the operational programme, with beneficiaries located in at least one other Member State</w:t>
      </w:r>
      <w:bookmarkStart w:id="144" w:name="_Toc512434591"/>
      <w:bookmarkStart w:id="145" w:name="_Toc25666865"/>
      <w:bookmarkStart w:id="146" w:name="_Toc27646472"/>
      <w:r>
        <w:rPr>
          <w:color w:val="000000"/>
          <w:lang w:val="en"/>
        </w:rPr>
        <w:t xml:space="preserve"> </w:t>
      </w:r>
      <w:r w:rsidRPr="00C435E2">
        <w:rPr>
          <w:b w:val="0"/>
          <w:noProof/>
          <w:color w:val="000000"/>
          <w:lang w:val="en"/>
        </w:rPr>
        <w:t>(where appropriate)</w:t>
      </w:r>
      <w:bookmarkEnd w:id="143"/>
      <w:bookmarkEnd w:id="144"/>
      <w:bookmarkEnd w:id="145"/>
      <w:bookmarkEnd w:id="146"/>
    </w:p>
    <w:p>
      <w:pPr>
        <w:spacing w:before="0" w:after="240"/>
        <w:jc w:val="left"/>
        <w:rPr>
          <w:rFonts w:ascii="Times New Roman" w:eastAsia="Times New Roman" w:hAnsi="Times New Roman" w:cs="Times New Roman"/>
        </w:rPr>
      </w:pPr>
      <w:r>
        <w:rPr>
          <w:rFonts w:ascii="Times New Roman" w:eastAsia="Times New Roman" w:hAnsi="Times New Roman" w:cs="Times New Roman"/>
        </w:rPr>
        <w:t>N/A</w:t>
      </w:r>
    </w:p>
    <w:p w:rsidR="008D5009" w:rsidP="008D5009">
      <w:pPr>
        <w:widowControl w:val="0"/>
        <w:spacing w:before="0" w:after="0"/>
        <w:rPr>
          <w:noProof/>
          <w:color w:val="000000"/>
          <w:sz w:val="22"/>
          <w:szCs w:val="22"/>
          <w:lang w:eastAsia="fr-BE"/>
        </w:rPr>
      </w:pPr>
    </w:p>
    <w:p w:rsidR="008D5009" w:rsidRPr="00986934" w:rsidP="008D5009">
      <w:pPr>
        <w:widowControl w:val="0"/>
        <w:spacing w:before="0" w:after="0"/>
        <w:rPr>
          <w:noProof/>
          <w:color w:val="4F81BD"/>
          <w:sz w:val="22"/>
          <w:szCs w:val="22"/>
          <w:lang w:val="en" w:eastAsia="fr-BE"/>
        </w:rPr>
      </w:pPr>
    </w:p>
    <w:p w:rsidR="008D5009" w:rsidRPr="00986934" w:rsidP="008D5009">
      <w:pPr>
        <w:pStyle w:val="Heading2"/>
        <w:keepLines/>
        <w:numPr>
          <w:ilvl w:val="0"/>
          <w:numId w:val="0"/>
        </w:numPr>
        <w:spacing w:before="0" w:after="0"/>
        <w:rPr>
          <w:color w:val="000000"/>
          <w:sz w:val="22"/>
          <w:szCs w:val="22"/>
          <w:lang w:val="en"/>
        </w:rPr>
      </w:pPr>
      <w:bookmarkStart w:id="147" w:name="_Toc256000104"/>
      <w:r w:rsidRPr="00986934">
        <w:rPr>
          <w:noProof/>
          <w:color w:val="000000"/>
          <w:lang w:val="en"/>
        </w:rPr>
        <w:t>4.5 Contribution of the planned actions under the programme to macro-regional and sea basin strategies, subject to the needs of the programme area as identified by the Member State</w:t>
      </w:r>
      <w:bookmarkStart w:id="148" w:name="_Toc512434592"/>
      <w:bookmarkStart w:id="149" w:name="_Toc25666866"/>
      <w:bookmarkStart w:id="150" w:name="_Toc27646473"/>
      <w:r w:rsidRPr="00986934">
        <w:rPr>
          <w:noProof/>
          <w:color w:val="000000"/>
          <w:lang w:val="en" w:eastAsia="fr-BE"/>
        </w:rPr>
        <w:t xml:space="preserve"> </w:t>
      </w:r>
      <w:r w:rsidRPr="00986934">
        <w:rPr>
          <w:b w:val="0"/>
          <w:noProof/>
          <w:color w:val="000000"/>
          <w:lang w:val="en" w:eastAsia="fr-BE"/>
        </w:rPr>
        <w:t>(where appropriate)</w:t>
      </w:r>
      <w:bookmarkEnd w:id="147"/>
      <w:bookmarkEnd w:id="148"/>
      <w:bookmarkEnd w:id="149"/>
      <w:bookmarkEnd w:id="150"/>
    </w:p>
    <w:p w:rsidR="008D5009" w:rsidRPr="00986934" w:rsidP="008D5009">
      <w:pPr>
        <w:keepNext/>
        <w:keepLines/>
        <w:widowControl w:val="0"/>
        <w:spacing w:before="0" w:after="0"/>
        <w:rPr>
          <w:noProof/>
          <w:color w:val="000000"/>
          <w:lang w:val="en" w:eastAsia="fr-BE"/>
        </w:rPr>
      </w:pPr>
      <w:r w:rsidRPr="00986934">
        <w:rPr>
          <w:noProof/>
          <w:color w:val="000000"/>
          <w:lang w:val="en" w:eastAsia="fr-BE"/>
        </w:rPr>
        <w:t>(Where the Member State and regions participate in macro-regional strategies and sea basin strategies).</w:t>
      </w:r>
      <w:r w:rsidRPr="00986934">
        <w:rPr>
          <w:noProof/>
          <w:color w:val="000000"/>
          <w:lang w:val="en" w:eastAsia="fr-BE"/>
        </w:rPr>
        <w:t xml:space="preserve"> </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 xml:space="preserve">Prin </w:t>
      </w:r>
      <w:r>
        <w:rPr>
          <w:rFonts w:ascii="Times New Roman" w:eastAsia="Times New Roman" w:hAnsi="Times New Roman" w:cs="Times New Roman"/>
          <w:b/>
          <w:bCs/>
        </w:rPr>
        <w:t>SUERD,</w:t>
      </w:r>
      <w:r>
        <w:rPr>
          <w:rFonts w:ascii="Times New Roman" w:eastAsia="Times New Roman" w:hAnsi="Times New Roman" w:cs="Times New Roman"/>
        </w:rPr>
        <w:t xml:space="preserve"> intervențiile vor lua în considerare următoarele zone:</w:t>
      </w:r>
    </w:p>
    <w:p>
      <w:pPr>
        <w:numPr>
          <w:ilvl w:val="0"/>
          <w:numId w:val="5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infrastructura de transport (poduri sau alte posibilități de traversare a râului, reabilitarea infrastructurii portuare și dezvoltarea de noduri intermodale și logistice)</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investițiile în educație, formare, învățare de-a lungul vieții</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promovarea investițiilor pentru prevenirea și gestionarea riscurilor</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dezvoltarea serviciilor electronice</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rețele de așezări (conexiune între fluviul Dunărea și București, facilitarea cooperării transfrontaliere între orașele pereche dețalungul Dunării)</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mediu (conservarea și protecția ariilor protejate rurale de-a lungul fluviului Dunărea, mai ales din Delta Dunării)</w:t>
      </w:r>
    </w:p>
    <w:p>
      <w:pPr>
        <w:numPr>
          <w:ilvl w:val="0"/>
          <w:numId w:val="53"/>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problemele sociale (îmbunătățirea infrastructurii sociale, de educație și sănătate în județele adiacente Dunării)</w:t>
      </w:r>
    </w:p>
    <w:p>
      <w:pPr>
        <w:numPr>
          <w:ilvl w:val="0"/>
          <w:numId w:val="5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economie (valorificarea potențialului agricol, energetic și turistic al zonei Dunării).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Este de asemenea important de menționat viitorul program de cooperare transnațională Dunărea, care va fi finanțat din FEDR, IPA și IEVP. Rolul său este de a finanța pregătirea de proiecte de dimensiuni mici și mijlocii cu impact macro regional în cadrul Strategiei Dunărea.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Programarea fondurilor ESI 2014-2020 a avut în vedere susținerea îndeplinirii obiectivelor SUERD. În cazul POC, finanțarea proiectului Danubius este o contribuție relevantă la conservarea și protecția ariilor protejate din Delta Dunării.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Finanțat prin AP1, se prevede ca proiectul DANUBIUS să fie un punct important pentru Delta Dunării – având rolul de centru de comandă pentru o serie de Noduri Europene, dar și acela de locație de cercetare (prin care Delta să devină un “laborator natural”) care să concentreze laboratoare cu dotare de excelență. Misiunea centrului DANUBIUS va fi aceea de a furniza soluții științifice inovative, ca răspuns la principalele provocări globale din domeniu și de a stabili cadrul pentru dezvoltarea durabilă a sistemului Dunăre – Delta Dunării – Marea Neagră.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vederea pregătirii proiectului DANUBIUS RI, în anul 2018 a fost semnat proiectul suport „Strategie şi acţiuni pentru pregătirea participării naţionale la proiectul DANUBIUS-RI" – denumit generic DANS 1, finanțat de la bugetul național prin PNCDI III, un proiect suport de management prin care au fost pregătite Studiul de Fezabilitate și Proiectele Tehnice pentru componentele româneşti ale proiectului DANUBIUS-RI (Hub, Supersite-ul Delta Dunării, Centrul de Date). Proiectul a fost finalizat în data de 14 iunie 2019.</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Având în vedere că nu este finalizată documentaţia pentru proiectul DANUBIUS-RI, prin POC se dorește finanțarea unui proiect pregătitor (buget 5.000.000 euro FEDR) și nu finanțarea proiectului de cercetare (40.000.000 euro FEDR) - proiect care urmează a fi propus la finanţare ulterior, astfel că se va diminua CO24 cu 0,3 ENI și utiliza valoarea de 11.7  ENI (aferent sumei de 35.000.000 euro FEDR) în cadrul aceluiași cod de intervenție pentru care există solicitare de finanțare care depășește bugetul inițial.</w:t>
      </w:r>
    </w:p>
    <w:p w:rsidR="008D5009" w:rsidRPr="00986934" w:rsidP="008D5009">
      <w:pPr>
        <w:widowControl w:val="0"/>
        <w:spacing w:before="0" w:after="0"/>
        <w:rPr>
          <w:noProof/>
          <w:lang w:val="en" w:eastAsia="fr-BE"/>
        </w:rPr>
        <w:sectPr w:rsidSect="00426349">
          <w:pgSz w:w="11906" w:h="16838"/>
          <w:pgMar w:top="1022" w:right="1699" w:bottom="1022" w:left="1584" w:header="283" w:footer="283" w:gutter="0"/>
          <w:cols w:space="708"/>
          <w:docGrid w:linePitch="360"/>
        </w:sectPr>
      </w:pPr>
    </w:p>
    <w:p w:rsidR="008D5009" w:rsidRPr="00986934" w:rsidP="008D5009">
      <w:pPr>
        <w:widowControl w:val="0"/>
        <w:spacing w:before="0" w:after="0"/>
        <w:rPr>
          <w:b/>
          <w:lang w:val="en"/>
        </w:rPr>
      </w:pPr>
      <w:bookmarkStart w:id="151" w:name="_Toc256000105"/>
      <w:r w:rsidRPr="00937974">
        <w:rPr>
          <w:rStyle w:val="Heading1Char"/>
          <w:noProof/>
        </w:rPr>
        <w:t>5. SPECIFIC NEEDS OF GEOGRAPHICAL AREAS MOST AFFECTED BY POVERTY OR TARGET GROUPS AT HIGHEST RISK OF DISCRIMINATION OR SOCIAL EXCLUSION</w:t>
      </w:r>
      <w:bookmarkEnd w:id="151"/>
      <w:r w:rsidRPr="00986934">
        <w:rPr>
          <w:b/>
          <w:noProof/>
          <w:lang w:val="en" w:eastAsia="fr-BE"/>
        </w:rPr>
        <w:t xml:space="preserve"> </w:t>
      </w:r>
      <w:r w:rsidRPr="00986934">
        <w:rPr>
          <w:noProof/>
          <w:lang w:val="en" w:eastAsia="fr-BE"/>
        </w:rPr>
        <w:t>(WHERE APPROPRIATE)</w:t>
      </w:r>
    </w:p>
    <w:p w:rsidR="008D5009" w:rsidRPr="00986934" w:rsidP="008D5009">
      <w:pPr>
        <w:spacing w:before="0" w:after="0"/>
        <w:rPr>
          <w:lang w:val="en"/>
        </w:rPr>
      </w:pPr>
    </w:p>
    <w:p w:rsidR="008D5009" w:rsidP="008D5009">
      <w:pPr>
        <w:pStyle w:val="Heading2"/>
        <w:numPr>
          <w:ilvl w:val="0"/>
          <w:numId w:val="0"/>
        </w:numPr>
        <w:spacing w:before="0" w:after="0"/>
        <w:rPr>
          <w:color w:val="000000"/>
        </w:rPr>
      </w:pPr>
      <w:bookmarkStart w:id="152" w:name="_Toc256000106"/>
      <w:r w:rsidRPr="001D083A">
        <w:rPr>
          <w:noProof/>
          <w:color w:val="000000"/>
        </w:rPr>
        <w:t>5.1 Geographical areas most affected by poverty/target groups at highest risk of discrimination or social exclusion</w:t>
      </w:r>
      <w:bookmarkEnd w:id="152"/>
    </w:p>
    <w:p>
      <w:pPr>
        <w:spacing w:before="0" w:after="240"/>
        <w:jc w:val="left"/>
        <w:rPr>
          <w:rFonts w:ascii="Times New Roman" w:eastAsia="Times New Roman" w:hAnsi="Times New Roman" w:cs="Times New Roman"/>
        </w:rPr>
      </w:pPr>
      <w:r>
        <w:rPr>
          <w:rFonts w:ascii="Times New Roman" w:eastAsia="Times New Roman" w:hAnsi="Times New Roman" w:cs="Times New Roman"/>
        </w:rPr>
        <w:t>N/A</w:t>
      </w:r>
    </w:p>
    <w:p w:rsidR="008D5009" w:rsidP="008D5009">
      <w:pPr>
        <w:pStyle w:val="Text1"/>
        <w:spacing w:before="0" w:after="0"/>
        <w:ind w:left="0"/>
        <w:rPr>
          <w:color w:val="000000"/>
        </w:rPr>
      </w:pPr>
    </w:p>
    <w:p w:rsidR="008D5009" w:rsidP="008D5009">
      <w:pPr>
        <w:pStyle w:val="Heading2"/>
        <w:numPr>
          <w:ilvl w:val="0"/>
          <w:numId w:val="0"/>
        </w:numPr>
        <w:spacing w:before="0" w:after="0"/>
        <w:rPr>
          <w:color w:val="000000"/>
        </w:rPr>
      </w:pPr>
      <w:bookmarkStart w:id="153" w:name="_Toc256000107"/>
      <w:r w:rsidRPr="00977A33">
        <w:rPr>
          <w:noProof/>
          <w:color w:val="000000"/>
        </w:rPr>
        <w:t>5.2 Strategy to address the specific needs of geographical areas most affected by poverty/target groups at highest risk of discrimination or social exclusion, and where relevant, the contribution to the integrated approach set out in the Partnership Agreement</w:t>
      </w:r>
      <w:bookmarkEnd w:id="153"/>
    </w:p>
    <w:p>
      <w:pPr>
        <w:spacing w:before="0" w:after="240"/>
        <w:jc w:val="left"/>
        <w:rPr>
          <w:rFonts w:ascii="Times New Roman" w:eastAsia="Times New Roman" w:hAnsi="Times New Roman" w:cs="Times New Roman"/>
        </w:rPr>
      </w:pPr>
      <w:r>
        <w:rPr>
          <w:rFonts w:ascii="Times New Roman" w:eastAsia="Times New Roman" w:hAnsi="Times New Roman" w:cs="Times New Roman"/>
        </w:rPr>
        <w:t>N/A</w:t>
      </w:r>
    </w:p>
    <w:p w:rsidR="008D5009" w:rsidP="008D5009">
      <w:pPr>
        <w:pStyle w:val="Text1"/>
        <w:spacing w:before="0" w:after="0"/>
        <w:ind w:left="0"/>
        <w:rPr>
          <w:b/>
        </w:rPr>
        <w:sectPr w:rsidSect="00426349">
          <w:pgSz w:w="11906" w:h="16838"/>
          <w:pgMar w:top="1022" w:right="1699" w:bottom="1022" w:left="1584" w:header="283" w:footer="283" w:gutter="0"/>
          <w:cols w:space="708"/>
          <w:docGrid w:linePitch="360"/>
        </w:sectPr>
      </w:pPr>
    </w:p>
    <w:p w:rsidR="008D5009" w:rsidP="00144AE8">
      <w:pPr>
        <w:pStyle w:val="Heading2"/>
        <w:numPr>
          <w:ilvl w:val="0"/>
          <w:numId w:val="0"/>
        </w:numPr>
        <w:ind w:left="850" w:hanging="850"/>
      </w:pPr>
      <w:bookmarkStart w:id="154" w:name="_Toc256000108"/>
      <w:r>
        <w:rPr>
          <w:noProof/>
        </w:rPr>
        <w:t>Table 22: Actions to address specific needs of geographical areas most affected by poverty/target groups at highest risk of discrimination or social exclusion</w:t>
      </w:r>
      <w:bookmarkEnd w:id="154"/>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903"/>
        <w:gridCol w:w="1114"/>
        <w:gridCol w:w="1570"/>
        <w:gridCol w:w="747"/>
        <w:gridCol w:w="1058"/>
        <w:gridCol w:w="838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510"/>
          <w:tblHeader/>
        </w:trPr>
        <w:tc>
          <w:tcPr/>
          <w:p w:rsidR="008D5009" w:rsidRPr="00B43DD0" w:rsidP="00426349">
            <w:pPr>
              <w:pStyle w:val="Text1"/>
              <w:spacing w:before="0" w:after="0"/>
              <w:ind w:left="0"/>
              <w:jc w:val="center"/>
              <w:rPr>
                <w:b/>
                <w:sz w:val="20"/>
                <w:szCs w:val="20"/>
              </w:rPr>
            </w:pPr>
            <w:r w:rsidRPr="00B43DD0">
              <w:rPr>
                <w:b/>
                <w:noProof/>
                <w:sz w:val="20"/>
                <w:szCs w:val="20"/>
              </w:rPr>
              <w:t>Target group/geographical area</w:t>
            </w:r>
          </w:p>
        </w:tc>
        <w:tc>
          <w:tcPr/>
          <w:p w:rsidR="008D5009" w:rsidRPr="00B43DD0" w:rsidP="00426349">
            <w:pPr>
              <w:pStyle w:val="Text1"/>
              <w:spacing w:before="0" w:after="0"/>
              <w:ind w:left="0"/>
              <w:jc w:val="center"/>
              <w:rPr>
                <w:b/>
                <w:sz w:val="20"/>
                <w:szCs w:val="20"/>
              </w:rPr>
            </w:pPr>
            <w:r w:rsidRPr="00B43DD0">
              <w:rPr>
                <w:b/>
                <w:noProof/>
                <w:sz w:val="20"/>
                <w:szCs w:val="20"/>
              </w:rPr>
              <w:t>Main types of planned action as part of integrated approach</w:t>
            </w:r>
          </w:p>
        </w:tc>
        <w:tc>
          <w:tcPr/>
          <w:p w:rsidR="008D5009" w:rsidRPr="00B43DD0" w:rsidP="00426349">
            <w:pPr>
              <w:pStyle w:val="Text1"/>
              <w:spacing w:before="0" w:after="0"/>
              <w:ind w:left="0"/>
              <w:jc w:val="center"/>
              <w:rPr>
                <w:b/>
                <w:sz w:val="20"/>
                <w:szCs w:val="20"/>
              </w:rPr>
            </w:pPr>
            <w:r w:rsidRPr="00B43DD0">
              <w:rPr>
                <w:b/>
                <w:noProof/>
                <w:sz w:val="20"/>
                <w:szCs w:val="20"/>
              </w:rPr>
              <w:t>Priority axis</w:t>
            </w:r>
          </w:p>
        </w:tc>
        <w:tc>
          <w:tcPr/>
          <w:p w:rsidR="008D5009" w:rsidRPr="00B43DD0" w:rsidP="00426349">
            <w:pPr>
              <w:pStyle w:val="Text1"/>
              <w:spacing w:before="0" w:after="0"/>
              <w:ind w:left="0"/>
              <w:jc w:val="center"/>
              <w:rPr>
                <w:b/>
                <w:sz w:val="20"/>
                <w:szCs w:val="20"/>
              </w:rPr>
            </w:pPr>
            <w:r w:rsidRPr="00B43DD0">
              <w:rPr>
                <w:b/>
                <w:noProof/>
                <w:sz w:val="20"/>
                <w:szCs w:val="20"/>
              </w:rPr>
              <w:t>Fund</w:t>
            </w:r>
          </w:p>
        </w:tc>
        <w:tc>
          <w:tcPr/>
          <w:p w:rsidR="008D5009" w:rsidRPr="00B43DD0" w:rsidP="00426349">
            <w:pPr>
              <w:pStyle w:val="Text1"/>
              <w:spacing w:before="0" w:after="0"/>
              <w:ind w:left="0"/>
              <w:jc w:val="center"/>
              <w:rPr>
                <w:b/>
                <w:sz w:val="20"/>
                <w:szCs w:val="20"/>
              </w:rPr>
            </w:pPr>
            <w:r w:rsidRPr="00B43DD0">
              <w:rPr>
                <w:b/>
                <w:noProof/>
                <w:sz w:val="20"/>
                <w:szCs w:val="20"/>
              </w:rPr>
              <w:t>Category of region</w:t>
            </w:r>
          </w:p>
        </w:tc>
        <w:tc>
          <w:tcPr/>
          <w:p w:rsidR="008D5009" w:rsidRPr="00B43DD0" w:rsidP="00426349">
            <w:pPr>
              <w:pStyle w:val="Text1"/>
              <w:spacing w:before="0" w:after="0"/>
              <w:ind w:left="0"/>
              <w:jc w:val="center"/>
              <w:rPr>
                <w:b/>
                <w:sz w:val="20"/>
                <w:szCs w:val="20"/>
              </w:rPr>
            </w:pPr>
            <w:r w:rsidRPr="00B43DD0">
              <w:rPr>
                <w:b/>
                <w:noProof/>
                <w:sz w:val="20"/>
                <w:szCs w:val="20"/>
              </w:rPr>
              <w:t>Investment priority</w:t>
            </w:r>
          </w:p>
        </w:tc>
      </w:tr>
      <w:tr w:rsidTr="00426349">
        <w:tblPrEx>
          <w:tblW w:w="5000" w:type="pct"/>
          <w:tblLook w:val="0020"/>
        </w:tblPrEx>
        <w:trPr>
          <w:trHeight w:val="340"/>
        </w:trPr>
        <w:tc>
          <w:tcPr/>
          <w:p w:rsidR="008D5009" w:rsidRPr="00D038B2" w:rsidP="005B5A3D">
            <w:pPr>
              <w:spacing w:before="0" w:after="0"/>
              <w:pPrChange w:id="155" w:author="Author">
                <w:pPr>
                  <w:spacing w:before="0" w:after="0"/>
                </w:pPr>
              </w:pPrChange>
              <w:rPr>
                <w:sz w:val="20"/>
                <w:szCs w:val="20"/>
              </w:rPr>
            </w:pPr>
            <w:r w:rsidRPr="00D038B2">
              <w:rPr>
                <w:noProof/>
                <w:sz w:val="20"/>
                <w:szCs w:val="20"/>
              </w:rPr>
              <w:t>N/A</w:t>
            </w:r>
          </w:p>
        </w:tc>
        <w:tc>
          <w:tcPr/>
          <w:p w:rsidR="008D5009" w:rsidRPr="00D038B2" w:rsidP="00426349">
            <w:pPr>
              <w:pStyle w:val="Text1"/>
              <w:spacing w:before="0" w:after="0"/>
              <w:ind w:left="0"/>
              <w:pPrChange w:id="156" w:author="Author">
                <w:pPr>
                  <w:pStyle w:val="Text1"/>
                  <w:spacing w:before="0" w:after="0"/>
                  <w:ind w:left="0"/>
                </w:pPr>
              </w:pPrChange>
              <w:rPr>
                <w:sz w:val="20"/>
                <w:szCs w:val="20"/>
              </w:rPr>
            </w:pPr>
            <w:r w:rsidRPr="00D038B2">
              <w:rPr>
                <w:noProof/>
                <w:sz w:val="20"/>
                <w:szCs w:val="20"/>
              </w:rPr>
              <w:t>N/A</w:t>
            </w:r>
          </w:p>
        </w:tc>
        <w:tc>
          <w:tcPr/>
          <w:p w:rsidR="008D5009" w:rsidRPr="00D038B2" w:rsidP="00ED6E68">
            <w:pPr>
              <w:pStyle w:val="Text1"/>
              <w:spacing w:before="0" w:after="0"/>
              <w:ind w:left="0"/>
              <w:pPrChange w:id="157" w:author="Author">
                <w:pPr>
                  <w:pStyle w:val="Text1"/>
                  <w:spacing w:before="0" w:after="0"/>
                  <w:ind w:left="0"/>
                </w:pPr>
              </w:pPrChange>
              <w:rPr>
                <w:sz w:val="20"/>
                <w:szCs w:val="20"/>
              </w:rPr>
            </w:pPr>
            <w:r>
              <w:rPr>
                <w:noProof/>
                <w:sz w:val="20"/>
                <w:szCs w:val="20"/>
              </w:rPr>
              <w:t>AP1</w:t>
            </w:r>
            <w:r>
              <w:rPr>
                <w:sz w:val="20"/>
                <w:szCs w:val="20"/>
              </w:rPr>
              <w:t xml:space="preserve"> - </w:t>
            </w:r>
            <w:r w:rsidRPr="00D038B2">
              <w:rPr>
                <w:noProof/>
                <w:sz w:val="20"/>
                <w:szCs w:val="20"/>
              </w:rPr>
              <w:t>Cercetare, dezvoltare tehnologica si inovare (CDI) in sprijinul competitivitatii economice si dezvoltarii afacerilor</w:t>
            </w:r>
          </w:p>
        </w:tc>
        <w:tc>
          <w:tcPr/>
          <w:p w:rsidR="008D5009" w:rsidRPr="00D038B2" w:rsidP="00426349">
            <w:pPr>
              <w:pStyle w:val="Text1"/>
              <w:spacing w:before="0" w:after="0"/>
              <w:ind w:left="0"/>
              <w:pPrChange w:id="158" w:author="Author">
                <w:pPr>
                  <w:pStyle w:val="Text1"/>
                  <w:spacing w:before="0" w:after="0"/>
                  <w:ind w:left="0"/>
                </w:pPr>
              </w:pPrChange>
              <w:rPr>
                <w:sz w:val="20"/>
                <w:szCs w:val="20"/>
              </w:rPr>
            </w:pPr>
            <w:r>
              <w:rPr>
                <w:noProof/>
                <w:sz w:val="20"/>
                <w:szCs w:val="20"/>
              </w:rPr>
              <w:t>ERDF</w:t>
            </w:r>
          </w:p>
        </w:tc>
        <w:tc>
          <w:tcPr/>
          <w:p w:rsidR="008D5009" w:rsidRPr="00D038B2" w:rsidP="00426349">
            <w:pPr>
              <w:spacing w:before="0" w:after="0"/>
              <w:pPrChange w:id="159" w:author="Author">
                <w:pPr>
                  <w:spacing w:before="0" w:after="0"/>
                </w:pPr>
              </w:pPrChange>
              <w:rPr>
                <w:sz w:val="20"/>
                <w:szCs w:val="20"/>
              </w:rPr>
            </w:pPr>
            <w:r w:rsidRPr="00D038B2">
              <w:rPr>
                <w:noProof/>
                <w:sz w:val="20"/>
                <w:szCs w:val="20"/>
              </w:rPr>
              <w:t>Less developed</w:t>
            </w:r>
          </w:p>
        </w:tc>
        <w:tc>
          <w:tcPr/>
          <w:p w:rsidR="008D5009" w:rsidRPr="00D97138" w:rsidP="00ED6E68">
            <w:pPr>
              <w:spacing w:before="0" w:after="0"/>
              <w:pPrChange w:id="160" w:author="Author">
                <w:pPr>
                  <w:spacing w:before="0" w:after="0"/>
                </w:pPr>
              </w:pPrChange>
              <w:rPr>
                <w:sz w:val="20"/>
                <w:szCs w:val="20"/>
              </w:rPr>
            </w:pPr>
            <w:r>
              <w:rPr>
                <w:noProof/>
                <w:sz w:val="20"/>
                <w:szCs w:val="20"/>
              </w:rPr>
              <w:t>1a</w:t>
            </w:r>
            <w:r>
              <w:rPr>
                <w:sz w:val="20"/>
                <w:szCs w:val="20"/>
              </w:rPr>
              <w:t xml:space="preserve"> </w:t>
            </w:r>
            <w:r>
              <w:rPr>
                <w:noProof/>
                <w:sz w:val="20"/>
                <w:szCs w:val="20"/>
              </w:rPr>
              <w:t>- Enhancing research and innovation (R&amp;I) infrastructure and capacities to develop R&amp;I excellence, and promoting centres of competence, in particular those of European interest</w:t>
            </w:r>
          </w:p>
        </w:tc>
      </w:tr>
      <w:tr w:rsidTr="00426349">
        <w:tblPrEx>
          <w:tblW w:w="5000" w:type="pct"/>
          <w:tblLook w:val="0020"/>
        </w:tblPrEx>
        <w:trPr>
          <w:trHeight w:val="340"/>
        </w:trPr>
        <w:tc>
          <w:tcPr/>
          <w:p w:rsidR="008D5009" w:rsidRPr="00D038B2" w:rsidP="005B5A3D">
            <w:pPr>
              <w:spacing w:before="0" w:after="0"/>
              <w:pPrChange w:id="161" w:author="Author">
                <w:pPr>
                  <w:spacing w:before="0" w:after="0"/>
                </w:pPr>
              </w:pPrChange>
              <w:rPr>
                <w:sz w:val="20"/>
                <w:szCs w:val="20"/>
              </w:rPr>
            </w:pPr>
            <w:r w:rsidRPr="00D038B2">
              <w:rPr>
                <w:noProof/>
                <w:sz w:val="20"/>
                <w:szCs w:val="20"/>
              </w:rPr>
              <w:t>N/A</w:t>
            </w:r>
          </w:p>
        </w:tc>
        <w:tc>
          <w:tcPr/>
          <w:p w:rsidR="008D5009" w:rsidRPr="00D038B2" w:rsidP="00426349">
            <w:pPr>
              <w:pStyle w:val="Text1"/>
              <w:spacing w:before="0" w:after="0"/>
              <w:ind w:left="0"/>
              <w:pPrChange w:id="162" w:author="Author">
                <w:pPr>
                  <w:pStyle w:val="Text1"/>
                  <w:spacing w:before="0" w:after="0"/>
                  <w:ind w:left="0"/>
                </w:pPr>
              </w:pPrChange>
              <w:rPr>
                <w:sz w:val="20"/>
                <w:szCs w:val="20"/>
              </w:rPr>
            </w:pPr>
            <w:r w:rsidRPr="00D038B2">
              <w:rPr>
                <w:noProof/>
                <w:sz w:val="20"/>
                <w:szCs w:val="20"/>
              </w:rPr>
              <w:t>N/A</w:t>
            </w:r>
          </w:p>
        </w:tc>
        <w:tc>
          <w:tcPr/>
          <w:p w:rsidR="008D5009" w:rsidRPr="00D038B2" w:rsidP="00ED6E68">
            <w:pPr>
              <w:pStyle w:val="Text1"/>
              <w:spacing w:before="0" w:after="0"/>
              <w:ind w:left="0"/>
              <w:pPrChange w:id="163" w:author="Author">
                <w:pPr>
                  <w:pStyle w:val="Text1"/>
                  <w:spacing w:before="0" w:after="0"/>
                  <w:ind w:left="0"/>
                </w:pPr>
              </w:pPrChange>
              <w:rPr>
                <w:sz w:val="20"/>
                <w:szCs w:val="20"/>
              </w:rPr>
            </w:pPr>
            <w:r>
              <w:rPr>
                <w:noProof/>
                <w:sz w:val="20"/>
                <w:szCs w:val="20"/>
              </w:rPr>
              <w:t>AP1</w:t>
            </w:r>
            <w:r>
              <w:rPr>
                <w:sz w:val="20"/>
                <w:szCs w:val="20"/>
              </w:rPr>
              <w:t xml:space="preserve"> - </w:t>
            </w:r>
            <w:r w:rsidRPr="00D038B2">
              <w:rPr>
                <w:noProof/>
                <w:sz w:val="20"/>
                <w:szCs w:val="20"/>
              </w:rPr>
              <w:t>Cercetare, dezvoltare tehnologica si inovare (CDI) in sprijinul competitivitatii economice si dezvoltarii afacerilor</w:t>
            </w:r>
          </w:p>
        </w:tc>
        <w:tc>
          <w:tcPr/>
          <w:p w:rsidR="008D5009" w:rsidRPr="00D038B2" w:rsidP="00426349">
            <w:pPr>
              <w:pStyle w:val="Text1"/>
              <w:spacing w:before="0" w:after="0"/>
              <w:ind w:left="0"/>
              <w:pPrChange w:id="164" w:author="Author">
                <w:pPr>
                  <w:pStyle w:val="Text1"/>
                  <w:spacing w:before="0" w:after="0"/>
                  <w:ind w:left="0"/>
                </w:pPr>
              </w:pPrChange>
              <w:rPr>
                <w:sz w:val="20"/>
                <w:szCs w:val="20"/>
              </w:rPr>
            </w:pPr>
            <w:r>
              <w:rPr>
                <w:noProof/>
                <w:sz w:val="20"/>
                <w:szCs w:val="20"/>
              </w:rPr>
              <w:t>ERDF</w:t>
            </w:r>
          </w:p>
        </w:tc>
        <w:tc>
          <w:tcPr/>
          <w:p w:rsidR="008D5009" w:rsidRPr="00D038B2" w:rsidP="00426349">
            <w:pPr>
              <w:spacing w:before="0" w:after="0"/>
              <w:pPrChange w:id="165" w:author="Author">
                <w:pPr>
                  <w:spacing w:before="0" w:after="0"/>
                </w:pPr>
              </w:pPrChange>
              <w:rPr>
                <w:sz w:val="20"/>
                <w:szCs w:val="20"/>
              </w:rPr>
            </w:pPr>
            <w:r w:rsidRPr="00D038B2">
              <w:rPr>
                <w:noProof/>
                <w:sz w:val="20"/>
                <w:szCs w:val="20"/>
              </w:rPr>
              <w:t>More developed</w:t>
            </w:r>
          </w:p>
        </w:tc>
        <w:tc>
          <w:tcPr/>
          <w:p w:rsidR="008D5009" w:rsidRPr="00D97138" w:rsidP="00ED6E68">
            <w:pPr>
              <w:spacing w:before="0" w:after="0"/>
              <w:pPrChange w:id="166" w:author="Author">
                <w:pPr>
                  <w:spacing w:before="0" w:after="0"/>
                </w:pPr>
              </w:pPrChange>
              <w:rPr>
                <w:sz w:val="20"/>
                <w:szCs w:val="20"/>
              </w:rPr>
            </w:pPr>
            <w:r>
              <w:rPr>
                <w:noProof/>
                <w:sz w:val="20"/>
                <w:szCs w:val="20"/>
              </w:rPr>
              <w:t>1a</w:t>
            </w:r>
            <w:r>
              <w:rPr>
                <w:sz w:val="20"/>
                <w:szCs w:val="20"/>
              </w:rPr>
              <w:t xml:space="preserve"> </w:t>
            </w:r>
            <w:r>
              <w:rPr>
                <w:noProof/>
                <w:sz w:val="20"/>
                <w:szCs w:val="20"/>
              </w:rPr>
              <w:t>- Enhancing research and innovation (R&amp;I) infrastructure and capacities to develop R&amp;I excellence, and promoting centres of competence, in particular those of European interest</w:t>
            </w:r>
          </w:p>
        </w:tc>
      </w:tr>
      <w:tr w:rsidTr="00426349">
        <w:tblPrEx>
          <w:tblW w:w="5000" w:type="pct"/>
          <w:tblLook w:val="0020"/>
        </w:tblPrEx>
        <w:trPr>
          <w:trHeight w:val="340"/>
        </w:trPr>
        <w:tc>
          <w:tcPr/>
          <w:p w:rsidR="008D5009" w:rsidRPr="00D038B2" w:rsidP="005B5A3D">
            <w:pPr>
              <w:spacing w:before="0" w:after="0"/>
              <w:pPrChange w:id="167" w:author="Author">
                <w:pPr>
                  <w:spacing w:before="0" w:after="0"/>
                </w:pPr>
              </w:pPrChange>
              <w:rPr>
                <w:sz w:val="20"/>
                <w:szCs w:val="20"/>
              </w:rPr>
            </w:pPr>
            <w:r w:rsidRPr="00D038B2">
              <w:rPr>
                <w:noProof/>
                <w:sz w:val="20"/>
                <w:szCs w:val="20"/>
              </w:rPr>
              <w:t>N/A</w:t>
            </w:r>
          </w:p>
        </w:tc>
        <w:tc>
          <w:tcPr/>
          <w:p w:rsidR="008D5009" w:rsidRPr="00D038B2" w:rsidP="00426349">
            <w:pPr>
              <w:pStyle w:val="Text1"/>
              <w:spacing w:before="0" w:after="0"/>
              <w:ind w:left="0"/>
              <w:pPrChange w:id="168" w:author="Author">
                <w:pPr>
                  <w:pStyle w:val="Text1"/>
                  <w:spacing w:before="0" w:after="0"/>
                  <w:ind w:left="0"/>
                </w:pPr>
              </w:pPrChange>
              <w:rPr>
                <w:sz w:val="20"/>
                <w:szCs w:val="20"/>
              </w:rPr>
            </w:pPr>
            <w:r w:rsidRPr="00D038B2">
              <w:rPr>
                <w:noProof/>
                <w:sz w:val="20"/>
                <w:szCs w:val="20"/>
              </w:rPr>
              <w:t>N/A</w:t>
            </w:r>
          </w:p>
        </w:tc>
        <w:tc>
          <w:tcPr/>
          <w:p w:rsidR="008D5009" w:rsidRPr="00D038B2" w:rsidP="00ED6E68">
            <w:pPr>
              <w:pStyle w:val="Text1"/>
              <w:spacing w:before="0" w:after="0"/>
              <w:ind w:left="0"/>
              <w:pPrChange w:id="169" w:author="Author">
                <w:pPr>
                  <w:pStyle w:val="Text1"/>
                  <w:spacing w:before="0" w:after="0"/>
                  <w:ind w:left="0"/>
                </w:pPr>
              </w:pPrChange>
              <w:rPr>
                <w:sz w:val="20"/>
                <w:szCs w:val="20"/>
              </w:rPr>
            </w:pPr>
            <w:r>
              <w:rPr>
                <w:noProof/>
                <w:sz w:val="20"/>
                <w:szCs w:val="20"/>
              </w:rPr>
              <w:t>AP1</w:t>
            </w:r>
            <w:r>
              <w:rPr>
                <w:sz w:val="20"/>
                <w:szCs w:val="20"/>
              </w:rPr>
              <w:t xml:space="preserve"> - </w:t>
            </w:r>
            <w:r w:rsidRPr="00D038B2">
              <w:rPr>
                <w:noProof/>
                <w:sz w:val="20"/>
                <w:szCs w:val="20"/>
              </w:rPr>
              <w:t>Cercetare, dezvoltare tehnologica si inovare (CDI) in sprijinul competitivitatii economice si dezvoltarii afacerilor</w:t>
            </w:r>
          </w:p>
        </w:tc>
        <w:tc>
          <w:tcPr/>
          <w:p w:rsidR="008D5009" w:rsidRPr="00D038B2" w:rsidP="00426349">
            <w:pPr>
              <w:pStyle w:val="Text1"/>
              <w:spacing w:before="0" w:after="0"/>
              <w:ind w:left="0"/>
              <w:pPrChange w:id="170" w:author="Author">
                <w:pPr>
                  <w:pStyle w:val="Text1"/>
                  <w:spacing w:before="0" w:after="0"/>
                  <w:ind w:left="0"/>
                </w:pPr>
              </w:pPrChange>
              <w:rPr>
                <w:sz w:val="20"/>
                <w:szCs w:val="20"/>
              </w:rPr>
            </w:pPr>
            <w:r>
              <w:rPr>
                <w:noProof/>
                <w:sz w:val="20"/>
                <w:szCs w:val="20"/>
              </w:rPr>
              <w:t>ERDF</w:t>
            </w:r>
          </w:p>
        </w:tc>
        <w:tc>
          <w:tcPr/>
          <w:p w:rsidR="008D5009" w:rsidRPr="00D038B2" w:rsidP="00426349">
            <w:pPr>
              <w:spacing w:before="0" w:after="0"/>
              <w:pPrChange w:id="171" w:author="Author">
                <w:pPr>
                  <w:spacing w:before="0" w:after="0"/>
                </w:pPr>
              </w:pPrChange>
              <w:rPr>
                <w:sz w:val="20"/>
                <w:szCs w:val="20"/>
              </w:rPr>
            </w:pPr>
            <w:r w:rsidRPr="00D038B2">
              <w:rPr>
                <w:noProof/>
                <w:sz w:val="20"/>
                <w:szCs w:val="20"/>
              </w:rPr>
              <w:t>Less developed</w:t>
            </w:r>
          </w:p>
        </w:tc>
        <w:tc>
          <w:tcPr/>
          <w:p w:rsidR="008D5009" w:rsidRPr="00D97138" w:rsidP="00ED6E68">
            <w:pPr>
              <w:spacing w:before="0" w:after="0"/>
              <w:pPrChange w:id="172" w:author="Author">
                <w:pPr>
                  <w:spacing w:before="0" w:after="0"/>
                </w:pPr>
              </w:pPrChange>
              <w:rPr>
                <w:sz w:val="20"/>
                <w:szCs w:val="20"/>
              </w:rPr>
            </w:pPr>
            <w:r>
              <w:rPr>
                <w:noProof/>
                <w:sz w:val="20"/>
                <w:szCs w:val="20"/>
              </w:rPr>
              <w:t>1b</w:t>
            </w:r>
            <w:r>
              <w:rPr>
                <w:sz w:val="20"/>
                <w:szCs w:val="20"/>
              </w:rPr>
              <w:t xml:space="preserve"> </w:t>
            </w:r>
            <w:r>
              <w:rPr>
                <w:noProof/>
                <w:sz w:val="20"/>
                <w:szCs w:val="20"/>
              </w:rPr>
              <w:t>- 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p>
        </w:tc>
      </w:tr>
      <w:tr w:rsidTr="00426349">
        <w:tblPrEx>
          <w:tblW w:w="5000" w:type="pct"/>
          <w:tblLook w:val="0020"/>
        </w:tblPrEx>
        <w:trPr>
          <w:trHeight w:val="340"/>
        </w:trPr>
        <w:tc>
          <w:tcPr/>
          <w:p w:rsidR="008D5009" w:rsidRPr="00D038B2" w:rsidP="005B5A3D">
            <w:pPr>
              <w:spacing w:before="0" w:after="0"/>
              <w:pPrChange w:id="173" w:author="Author">
                <w:pPr>
                  <w:spacing w:before="0" w:after="0"/>
                </w:pPr>
              </w:pPrChange>
              <w:rPr>
                <w:sz w:val="20"/>
                <w:szCs w:val="20"/>
              </w:rPr>
            </w:pPr>
            <w:r w:rsidRPr="00D038B2">
              <w:rPr>
                <w:noProof/>
                <w:sz w:val="20"/>
                <w:szCs w:val="20"/>
              </w:rPr>
              <w:t>N/A</w:t>
            </w:r>
          </w:p>
        </w:tc>
        <w:tc>
          <w:tcPr/>
          <w:p w:rsidR="008D5009" w:rsidRPr="00D038B2" w:rsidP="00426349">
            <w:pPr>
              <w:pStyle w:val="Text1"/>
              <w:spacing w:before="0" w:after="0"/>
              <w:ind w:left="0"/>
              <w:pPrChange w:id="174" w:author="Author">
                <w:pPr>
                  <w:pStyle w:val="Text1"/>
                  <w:spacing w:before="0" w:after="0"/>
                  <w:ind w:left="0"/>
                </w:pPr>
              </w:pPrChange>
              <w:rPr>
                <w:sz w:val="20"/>
                <w:szCs w:val="20"/>
              </w:rPr>
            </w:pPr>
            <w:r w:rsidRPr="00D038B2">
              <w:rPr>
                <w:noProof/>
                <w:sz w:val="20"/>
                <w:szCs w:val="20"/>
              </w:rPr>
              <w:t>N/A</w:t>
            </w:r>
          </w:p>
        </w:tc>
        <w:tc>
          <w:tcPr/>
          <w:p w:rsidR="008D5009" w:rsidRPr="00D038B2" w:rsidP="00ED6E68">
            <w:pPr>
              <w:pStyle w:val="Text1"/>
              <w:spacing w:before="0" w:after="0"/>
              <w:ind w:left="0"/>
              <w:pPrChange w:id="175" w:author="Author">
                <w:pPr>
                  <w:pStyle w:val="Text1"/>
                  <w:spacing w:before="0" w:after="0"/>
                  <w:ind w:left="0"/>
                </w:pPr>
              </w:pPrChange>
              <w:rPr>
                <w:sz w:val="20"/>
                <w:szCs w:val="20"/>
              </w:rPr>
            </w:pPr>
            <w:r>
              <w:rPr>
                <w:noProof/>
                <w:sz w:val="20"/>
                <w:szCs w:val="20"/>
              </w:rPr>
              <w:t>AP1</w:t>
            </w:r>
            <w:r>
              <w:rPr>
                <w:sz w:val="20"/>
                <w:szCs w:val="20"/>
              </w:rPr>
              <w:t xml:space="preserve"> - </w:t>
            </w:r>
            <w:r w:rsidRPr="00D038B2">
              <w:rPr>
                <w:noProof/>
                <w:sz w:val="20"/>
                <w:szCs w:val="20"/>
              </w:rPr>
              <w:t>Cercetare, dezvoltare tehnologica si inovare (CDI) in sprijinul competitivitatii economice si dezvoltarii afacerilor</w:t>
            </w:r>
          </w:p>
        </w:tc>
        <w:tc>
          <w:tcPr/>
          <w:p w:rsidR="008D5009" w:rsidRPr="00D038B2" w:rsidP="00426349">
            <w:pPr>
              <w:pStyle w:val="Text1"/>
              <w:spacing w:before="0" w:after="0"/>
              <w:ind w:left="0"/>
              <w:pPrChange w:id="176" w:author="Author">
                <w:pPr>
                  <w:pStyle w:val="Text1"/>
                  <w:spacing w:before="0" w:after="0"/>
                  <w:ind w:left="0"/>
                </w:pPr>
              </w:pPrChange>
              <w:rPr>
                <w:sz w:val="20"/>
                <w:szCs w:val="20"/>
              </w:rPr>
            </w:pPr>
            <w:r>
              <w:rPr>
                <w:noProof/>
                <w:sz w:val="20"/>
                <w:szCs w:val="20"/>
              </w:rPr>
              <w:t>ERDF</w:t>
            </w:r>
          </w:p>
        </w:tc>
        <w:tc>
          <w:tcPr/>
          <w:p w:rsidR="008D5009" w:rsidRPr="00D038B2" w:rsidP="00426349">
            <w:pPr>
              <w:spacing w:before="0" w:after="0"/>
              <w:pPrChange w:id="177" w:author="Author">
                <w:pPr>
                  <w:spacing w:before="0" w:after="0"/>
                </w:pPr>
              </w:pPrChange>
              <w:rPr>
                <w:sz w:val="20"/>
                <w:szCs w:val="20"/>
              </w:rPr>
            </w:pPr>
            <w:r w:rsidRPr="00D038B2">
              <w:rPr>
                <w:noProof/>
                <w:sz w:val="20"/>
                <w:szCs w:val="20"/>
              </w:rPr>
              <w:t>More developed</w:t>
            </w:r>
          </w:p>
        </w:tc>
        <w:tc>
          <w:tcPr/>
          <w:p w:rsidR="008D5009" w:rsidRPr="00D97138" w:rsidP="00ED6E68">
            <w:pPr>
              <w:spacing w:before="0" w:after="0"/>
              <w:pPrChange w:id="178" w:author="Author">
                <w:pPr>
                  <w:spacing w:before="0" w:after="0"/>
                </w:pPr>
              </w:pPrChange>
              <w:rPr>
                <w:sz w:val="20"/>
                <w:szCs w:val="20"/>
              </w:rPr>
            </w:pPr>
            <w:r>
              <w:rPr>
                <w:noProof/>
                <w:sz w:val="20"/>
                <w:szCs w:val="20"/>
              </w:rPr>
              <w:t>1b</w:t>
            </w:r>
            <w:r>
              <w:rPr>
                <w:sz w:val="20"/>
                <w:szCs w:val="20"/>
              </w:rPr>
              <w:t xml:space="preserve"> </w:t>
            </w:r>
            <w:r>
              <w:rPr>
                <w:noProof/>
                <w:sz w:val="20"/>
                <w:szCs w:val="20"/>
              </w:rPr>
              <w:t>- Promoting business investment in R&amp;I, developing links and synergies between enterprises, research and development centres and the higher education sector, in particular promoting investment in product and service development, technology transfer, social innovation, eco-innovation, public service applications, demand stimulation, networking, clusters and open innovation through smart specialisation, and supporting technological and applied research, pilot lines, early product validation actions, advanced manufacturing capabilities and first production, in particular in key enabling technologies and diffusion of general purpose technologies, as well as fostering investment necessary for strengthening the crisis response capacities in health services</w:t>
            </w:r>
          </w:p>
        </w:tc>
      </w:tr>
      <w:tr w:rsidTr="00426349">
        <w:tblPrEx>
          <w:tblW w:w="5000" w:type="pct"/>
          <w:tblLook w:val="0020"/>
        </w:tblPrEx>
        <w:trPr>
          <w:trHeight w:val="340"/>
        </w:trPr>
        <w:tc>
          <w:tcPr/>
          <w:p w:rsidR="008D5009" w:rsidRPr="00D038B2" w:rsidP="005B5A3D">
            <w:pPr>
              <w:spacing w:before="0" w:after="0"/>
              <w:pPrChange w:id="179" w:author="Author">
                <w:pPr>
                  <w:spacing w:before="0" w:after="0"/>
                </w:pPr>
              </w:pPrChange>
              <w:rPr>
                <w:sz w:val="20"/>
                <w:szCs w:val="20"/>
              </w:rPr>
            </w:pPr>
            <w:r w:rsidRPr="00D038B2">
              <w:rPr>
                <w:noProof/>
                <w:sz w:val="20"/>
                <w:szCs w:val="20"/>
              </w:rPr>
              <w:t>N/A</w:t>
            </w:r>
          </w:p>
        </w:tc>
        <w:tc>
          <w:tcPr/>
          <w:p w:rsidR="008D5009" w:rsidRPr="00D038B2" w:rsidP="00426349">
            <w:pPr>
              <w:pStyle w:val="Text1"/>
              <w:spacing w:before="0" w:after="0"/>
              <w:ind w:left="0"/>
              <w:pPrChange w:id="180" w:author="Author">
                <w:pPr>
                  <w:pStyle w:val="Text1"/>
                  <w:spacing w:before="0" w:after="0"/>
                  <w:ind w:left="0"/>
                </w:pPr>
              </w:pPrChange>
              <w:rPr>
                <w:sz w:val="20"/>
                <w:szCs w:val="20"/>
              </w:rPr>
            </w:pPr>
            <w:r w:rsidRPr="00D038B2">
              <w:rPr>
                <w:noProof/>
                <w:sz w:val="20"/>
                <w:szCs w:val="20"/>
              </w:rPr>
              <w:t>N/A</w:t>
            </w:r>
          </w:p>
        </w:tc>
        <w:tc>
          <w:tcPr/>
          <w:p w:rsidR="008D5009" w:rsidRPr="00D038B2" w:rsidP="00ED6E68">
            <w:pPr>
              <w:pStyle w:val="Text1"/>
              <w:spacing w:before="0" w:after="0"/>
              <w:ind w:left="0"/>
              <w:pPrChange w:id="181" w:author="Author">
                <w:pPr>
                  <w:pStyle w:val="Text1"/>
                  <w:spacing w:before="0" w:after="0"/>
                  <w:ind w:left="0"/>
                </w:pPr>
              </w:pPrChange>
              <w:rPr>
                <w:sz w:val="20"/>
                <w:szCs w:val="20"/>
              </w:rPr>
            </w:pPr>
            <w:r>
              <w:rPr>
                <w:noProof/>
                <w:sz w:val="20"/>
                <w:szCs w:val="20"/>
              </w:rPr>
              <w:t>AP2</w:t>
            </w:r>
            <w:r>
              <w:rPr>
                <w:sz w:val="20"/>
                <w:szCs w:val="20"/>
              </w:rPr>
              <w:t xml:space="preserve"> - </w:t>
            </w:r>
            <w:r w:rsidRPr="00D038B2">
              <w:rPr>
                <w:noProof/>
                <w:sz w:val="20"/>
                <w:szCs w:val="20"/>
              </w:rPr>
              <w:t>Tehnologia informatiei si comunicatiilor (TIC) pentru o economie digitala competitiva</w:t>
            </w:r>
          </w:p>
        </w:tc>
        <w:tc>
          <w:tcPr/>
          <w:p w:rsidR="008D5009" w:rsidRPr="00D038B2" w:rsidP="00426349">
            <w:pPr>
              <w:pStyle w:val="Text1"/>
              <w:spacing w:before="0" w:after="0"/>
              <w:ind w:left="0"/>
              <w:pPrChange w:id="182" w:author="Author">
                <w:pPr>
                  <w:pStyle w:val="Text1"/>
                  <w:spacing w:before="0" w:after="0"/>
                  <w:ind w:left="0"/>
                </w:pPr>
              </w:pPrChange>
              <w:rPr>
                <w:sz w:val="20"/>
                <w:szCs w:val="20"/>
              </w:rPr>
            </w:pPr>
            <w:r>
              <w:rPr>
                <w:noProof/>
                <w:sz w:val="20"/>
                <w:szCs w:val="20"/>
              </w:rPr>
              <w:t>ERDF</w:t>
            </w:r>
          </w:p>
        </w:tc>
        <w:tc>
          <w:tcPr/>
          <w:p w:rsidR="008D5009" w:rsidRPr="00D038B2" w:rsidP="00426349">
            <w:pPr>
              <w:spacing w:before="0" w:after="0"/>
              <w:pPrChange w:id="183" w:author="Author">
                <w:pPr>
                  <w:spacing w:before="0" w:after="0"/>
                </w:pPr>
              </w:pPrChange>
              <w:rPr>
                <w:sz w:val="20"/>
                <w:szCs w:val="20"/>
              </w:rPr>
            </w:pPr>
            <w:r w:rsidRPr="00D038B2">
              <w:rPr>
                <w:noProof/>
                <w:sz w:val="20"/>
                <w:szCs w:val="20"/>
              </w:rPr>
              <w:t>Less developed</w:t>
            </w:r>
          </w:p>
        </w:tc>
        <w:tc>
          <w:tcPr/>
          <w:p w:rsidR="008D5009" w:rsidRPr="00D97138" w:rsidP="00ED6E68">
            <w:pPr>
              <w:spacing w:before="0" w:after="0"/>
              <w:pPrChange w:id="184" w:author="Author">
                <w:pPr>
                  <w:spacing w:before="0" w:after="0"/>
                </w:pPr>
              </w:pPrChange>
              <w:rPr>
                <w:sz w:val="20"/>
                <w:szCs w:val="20"/>
              </w:rPr>
            </w:pPr>
            <w:r>
              <w:rPr>
                <w:noProof/>
                <w:sz w:val="20"/>
                <w:szCs w:val="20"/>
              </w:rPr>
              <w:t>2a</w:t>
            </w:r>
            <w:r>
              <w:rPr>
                <w:sz w:val="20"/>
                <w:szCs w:val="20"/>
              </w:rPr>
              <w:t xml:space="preserve"> </w:t>
            </w:r>
            <w:r>
              <w:rPr>
                <w:noProof/>
                <w:sz w:val="20"/>
                <w:szCs w:val="20"/>
              </w:rPr>
              <w:t>- Extending broadband deployment and the roll-out of high-speed networks and supporting the adoption of emerging technologies and networks for the digital economy</w:t>
            </w:r>
          </w:p>
        </w:tc>
      </w:tr>
      <w:tr w:rsidTr="00426349">
        <w:tblPrEx>
          <w:tblW w:w="5000" w:type="pct"/>
          <w:tblLook w:val="0020"/>
        </w:tblPrEx>
        <w:trPr>
          <w:trHeight w:val="340"/>
        </w:trPr>
        <w:tc>
          <w:tcPr/>
          <w:p w:rsidR="008D5009" w:rsidRPr="00D038B2" w:rsidP="005B5A3D">
            <w:pPr>
              <w:spacing w:before="0" w:after="0"/>
              <w:pPrChange w:id="185" w:author="Author">
                <w:pPr>
                  <w:spacing w:before="0" w:after="0"/>
                </w:pPr>
              </w:pPrChange>
              <w:rPr>
                <w:sz w:val="20"/>
                <w:szCs w:val="20"/>
              </w:rPr>
            </w:pPr>
            <w:r w:rsidRPr="00D038B2">
              <w:rPr>
                <w:noProof/>
                <w:sz w:val="20"/>
                <w:szCs w:val="20"/>
              </w:rPr>
              <w:t>N/A</w:t>
            </w:r>
          </w:p>
        </w:tc>
        <w:tc>
          <w:tcPr/>
          <w:p w:rsidR="008D5009" w:rsidRPr="00D038B2" w:rsidP="00426349">
            <w:pPr>
              <w:pStyle w:val="Text1"/>
              <w:spacing w:before="0" w:after="0"/>
              <w:ind w:left="0"/>
              <w:pPrChange w:id="186" w:author="Author">
                <w:pPr>
                  <w:pStyle w:val="Text1"/>
                  <w:spacing w:before="0" w:after="0"/>
                  <w:ind w:left="0"/>
                </w:pPr>
              </w:pPrChange>
              <w:rPr>
                <w:sz w:val="20"/>
                <w:szCs w:val="20"/>
              </w:rPr>
            </w:pPr>
            <w:r w:rsidRPr="00D038B2">
              <w:rPr>
                <w:noProof/>
                <w:sz w:val="20"/>
                <w:szCs w:val="20"/>
              </w:rPr>
              <w:t>N/A</w:t>
            </w:r>
          </w:p>
        </w:tc>
        <w:tc>
          <w:tcPr/>
          <w:p w:rsidR="008D5009" w:rsidRPr="00D038B2" w:rsidP="00ED6E68">
            <w:pPr>
              <w:pStyle w:val="Text1"/>
              <w:spacing w:before="0" w:after="0"/>
              <w:ind w:left="0"/>
              <w:pPrChange w:id="187" w:author="Author">
                <w:pPr>
                  <w:pStyle w:val="Text1"/>
                  <w:spacing w:before="0" w:after="0"/>
                  <w:ind w:left="0"/>
                </w:pPr>
              </w:pPrChange>
              <w:rPr>
                <w:sz w:val="20"/>
                <w:szCs w:val="20"/>
              </w:rPr>
            </w:pPr>
            <w:r>
              <w:rPr>
                <w:noProof/>
                <w:sz w:val="20"/>
                <w:szCs w:val="20"/>
              </w:rPr>
              <w:t>AP2</w:t>
            </w:r>
            <w:r>
              <w:rPr>
                <w:sz w:val="20"/>
                <w:szCs w:val="20"/>
              </w:rPr>
              <w:t xml:space="preserve"> - </w:t>
            </w:r>
            <w:r w:rsidRPr="00D038B2">
              <w:rPr>
                <w:noProof/>
                <w:sz w:val="20"/>
                <w:szCs w:val="20"/>
              </w:rPr>
              <w:t>Tehnologia informatiei si comunicatiilor (TIC) pentru o economie digitala competitiva</w:t>
            </w:r>
          </w:p>
        </w:tc>
        <w:tc>
          <w:tcPr/>
          <w:p w:rsidR="008D5009" w:rsidRPr="00D038B2" w:rsidP="00426349">
            <w:pPr>
              <w:pStyle w:val="Text1"/>
              <w:spacing w:before="0" w:after="0"/>
              <w:ind w:left="0"/>
              <w:pPrChange w:id="188" w:author="Author">
                <w:pPr>
                  <w:pStyle w:val="Text1"/>
                  <w:spacing w:before="0" w:after="0"/>
                  <w:ind w:left="0"/>
                </w:pPr>
              </w:pPrChange>
              <w:rPr>
                <w:sz w:val="20"/>
                <w:szCs w:val="20"/>
              </w:rPr>
            </w:pPr>
            <w:r>
              <w:rPr>
                <w:noProof/>
                <w:sz w:val="20"/>
                <w:szCs w:val="20"/>
              </w:rPr>
              <w:t>ERDF</w:t>
            </w:r>
          </w:p>
        </w:tc>
        <w:tc>
          <w:tcPr/>
          <w:p w:rsidR="008D5009" w:rsidRPr="00D038B2" w:rsidP="00426349">
            <w:pPr>
              <w:spacing w:before="0" w:after="0"/>
              <w:pPrChange w:id="189" w:author="Author">
                <w:pPr>
                  <w:spacing w:before="0" w:after="0"/>
                </w:pPr>
              </w:pPrChange>
              <w:rPr>
                <w:sz w:val="20"/>
                <w:szCs w:val="20"/>
              </w:rPr>
            </w:pPr>
            <w:r w:rsidRPr="00D038B2">
              <w:rPr>
                <w:noProof/>
                <w:sz w:val="20"/>
                <w:szCs w:val="20"/>
              </w:rPr>
              <w:t>More developed</w:t>
            </w:r>
          </w:p>
        </w:tc>
        <w:tc>
          <w:tcPr/>
          <w:p w:rsidR="008D5009" w:rsidRPr="00D97138" w:rsidP="00ED6E68">
            <w:pPr>
              <w:spacing w:before="0" w:after="0"/>
              <w:pPrChange w:id="190" w:author="Author">
                <w:pPr>
                  <w:spacing w:before="0" w:after="0"/>
                </w:pPr>
              </w:pPrChange>
              <w:rPr>
                <w:sz w:val="20"/>
                <w:szCs w:val="20"/>
              </w:rPr>
            </w:pPr>
            <w:r>
              <w:rPr>
                <w:noProof/>
                <w:sz w:val="20"/>
                <w:szCs w:val="20"/>
              </w:rPr>
              <w:t>2a</w:t>
            </w:r>
            <w:r>
              <w:rPr>
                <w:sz w:val="20"/>
                <w:szCs w:val="20"/>
              </w:rPr>
              <w:t xml:space="preserve"> </w:t>
            </w:r>
            <w:r>
              <w:rPr>
                <w:noProof/>
                <w:sz w:val="20"/>
                <w:szCs w:val="20"/>
              </w:rPr>
              <w:t>- Extending broadband deployment and the roll-out of high-speed networks and supporting the adoption of emerging technologies and networks for the digital economy</w:t>
            </w:r>
          </w:p>
        </w:tc>
      </w:tr>
      <w:tr w:rsidTr="00426349">
        <w:tblPrEx>
          <w:tblW w:w="5000" w:type="pct"/>
          <w:tblLook w:val="0020"/>
        </w:tblPrEx>
        <w:trPr>
          <w:trHeight w:val="340"/>
        </w:trPr>
        <w:tc>
          <w:tcPr/>
          <w:p w:rsidR="008D5009" w:rsidRPr="00D038B2" w:rsidP="005B5A3D">
            <w:pPr>
              <w:spacing w:before="0" w:after="0"/>
              <w:pPrChange w:id="191" w:author="Author">
                <w:pPr>
                  <w:spacing w:before="0" w:after="0"/>
                </w:pPr>
              </w:pPrChange>
              <w:rPr>
                <w:sz w:val="20"/>
                <w:szCs w:val="20"/>
              </w:rPr>
            </w:pPr>
            <w:r w:rsidRPr="00D038B2">
              <w:rPr>
                <w:noProof/>
                <w:sz w:val="20"/>
                <w:szCs w:val="20"/>
              </w:rPr>
              <w:t>N/A</w:t>
            </w:r>
          </w:p>
        </w:tc>
        <w:tc>
          <w:tcPr/>
          <w:p w:rsidR="008D5009" w:rsidRPr="00D038B2" w:rsidP="00426349">
            <w:pPr>
              <w:pStyle w:val="Text1"/>
              <w:spacing w:before="0" w:after="0"/>
              <w:ind w:left="0"/>
              <w:pPrChange w:id="192" w:author="Author">
                <w:pPr>
                  <w:pStyle w:val="Text1"/>
                  <w:spacing w:before="0" w:after="0"/>
                  <w:ind w:left="0"/>
                </w:pPr>
              </w:pPrChange>
              <w:rPr>
                <w:sz w:val="20"/>
                <w:szCs w:val="20"/>
              </w:rPr>
            </w:pPr>
            <w:r w:rsidRPr="00D038B2">
              <w:rPr>
                <w:noProof/>
                <w:sz w:val="20"/>
                <w:szCs w:val="20"/>
              </w:rPr>
              <w:t>N/A</w:t>
            </w:r>
          </w:p>
        </w:tc>
        <w:tc>
          <w:tcPr/>
          <w:p w:rsidR="008D5009" w:rsidRPr="00D038B2" w:rsidP="00ED6E68">
            <w:pPr>
              <w:pStyle w:val="Text1"/>
              <w:spacing w:before="0" w:after="0"/>
              <w:ind w:left="0"/>
              <w:pPrChange w:id="193" w:author="Author">
                <w:pPr>
                  <w:pStyle w:val="Text1"/>
                  <w:spacing w:before="0" w:after="0"/>
                  <w:ind w:left="0"/>
                </w:pPr>
              </w:pPrChange>
              <w:rPr>
                <w:sz w:val="20"/>
                <w:szCs w:val="20"/>
              </w:rPr>
            </w:pPr>
            <w:r>
              <w:rPr>
                <w:noProof/>
                <w:sz w:val="20"/>
                <w:szCs w:val="20"/>
              </w:rPr>
              <w:t>AP2</w:t>
            </w:r>
            <w:r>
              <w:rPr>
                <w:sz w:val="20"/>
                <w:szCs w:val="20"/>
              </w:rPr>
              <w:t xml:space="preserve"> - </w:t>
            </w:r>
            <w:r w:rsidRPr="00D038B2">
              <w:rPr>
                <w:noProof/>
                <w:sz w:val="20"/>
                <w:szCs w:val="20"/>
              </w:rPr>
              <w:t>Tehnologia informatiei si comunicatiilor (TIC) pentru o economie digitala competitiva</w:t>
            </w:r>
          </w:p>
        </w:tc>
        <w:tc>
          <w:tcPr/>
          <w:p w:rsidR="008D5009" w:rsidRPr="00D038B2" w:rsidP="00426349">
            <w:pPr>
              <w:pStyle w:val="Text1"/>
              <w:spacing w:before="0" w:after="0"/>
              <w:ind w:left="0"/>
              <w:pPrChange w:id="194" w:author="Author">
                <w:pPr>
                  <w:pStyle w:val="Text1"/>
                  <w:spacing w:before="0" w:after="0"/>
                  <w:ind w:left="0"/>
                </w:pPr>
              </w:pPrChange>
              <w:rPr>
                <w:sz w:val="20"/>
                <w:szCs w:val="20"/>
              </w:rPr>
            </w:pPr>
            <w:r>
              <w:rPr>
                <w:noProof/>
                <w:sz w:val="20"/>
                <w:szCs w:val="20"/>
              </w:rPr>
              <w:t>ERDF</w:t>
            </w:r>
          </w:p>
        </w:tc>
        <w:tc>
          <w:tcPr/>
          <w:p w:rsidR="008D5009" w:rsidRPr="00D038B2" w:rsidP="00426349">
            <w:pPr>
              <w:spacing w:before="0" w:after="0"/>
              <w:pPrChange w:id="195" w:author="Author">
                <w:pPr>
                  <w:spacing w:before="0" w:after="0"/>
                </w:pPr>
              </w:pPrChange>
              <w:rPr>
                <w:sz w:val="20"/>
                <w:szCs w:val="20"/>
              </w:rPr>
            </w:pPr>
            <w:r w:rsidRPr="00D038B2">
              <w:rPr>
                <w:noProof/>
                <w:sz w:val="20"/>
                <w:szCs w:val="20"/>
              </w:rPr>
              <w:t>Less developed</w:t>
            </w:r>
          </w:p>
        </w:tc>
        <w:tc>
          <w:tcPr/>
          <w:p w:rsidR="008D5009" w:rsidRPr="00D97138" w:rsidP="00ED6E68">
            <w:pPr>
              <w:spacing w:before="0" w:after="0"/>
              <w:pPrChange w:id="196" w:author="Author">
                <w:pPr>
                  <w:spacing w:before="0" w:after="0"/>
                </w:pPr>
              </w:pPrChange>
              <w:rPr>
                <w:sz w:val="20"/>
                <w:szCs w:val="20"/>
              </w:rPr>
            </w:pPr>
            <w:r>
              <w:rPr>
                <w:noProof/>
                <w:sz w:val="20"/>
                <w:szCs w:val="20"/>
              </w:rPr>
              <w:t>2b</w:t>
            </w:r>
            <w:r>
              <w:rPr>
                <w:sz w:val="20"/>
                <w:szCs w:val="20"/>
              </w:rPr>
              <w:t xml:space="preserve"> </w:t>
            </w:r>
            <w:r>
              <w:rPr>
                <w:noProof/>
                <w:sz w:val="20"/>
                <w:szCs w:val="20"/>
              </w:rPr>
              <w:t>- Developing ICT products and services, e-commerce and enhancing demand for ICT</w:t>
            </w:r>
          </w:p>
        </w:tc>
      </w:tr>
      <w:tr w:rsidTr="00426349">
        <w:tblPrEx>
          <w:tblW w:w="5000" w:type="pct"/>
          <w:tblLook w:val="0020"/>
        </w:tblPrEx>
        <w:trPr>
          <w:trHeight w:val="340"/>
        </w:trPr>
        <w:tc>
          <w:tcPr/>
          <w:p w:rsidR="008D5009" w:rsidRPr="00D038B2" w:rsidP="005B5A3D">
            <w:pPr>
              <w:spacing w:before="0" w:after="0"/>
              <w:pPrChange w:id="197" w:author="Author">
                <w:pPr>
                  <w:spacing w:before="0" w:after="0"/>
                </w:pPr>
              </w:pPrChange>
              <w:rPr>
                <w:sz w:val="20"/>
                <w:szCs w:val="20"/>
              </w:rPr>
            </w:pPr>
            <w:r w:rsidRPr="00D038B2">
              <w:rPr>
                <w:noProof/>
                <w:sz w:val="20"/>
                <w:szCs w:val="20"/>
              </w:rPr>
              <w:t>N/A</w:t>
            </w:r>
          </w:p>
        </w:tc>
        <w:tc>
          <w:tcPr/>
          <w:p w:rsidR="008D5009" w:rsidRPr="00D038B2" w:rsidP="00426349">
            <w:pPr>
              <w:pStyle w:val="Text1"/>
              <w:spacing w:before="0" w:after="0"/>
              <w:ind w:left="0"/>
              <w:pPrChange w:id="198" w:author="Author">
                <w:pPr>
                  <w:pStyle w:val="Text1"/>
                  <w:spacing w:before="0" w:after="0"/>
                  <w:ind w:left="0"/>
                </w:pPr>
              </w:pPrChange>
              <w:rPr>
                <w:sz w:val="20"/>
                <w:szCs w:val="20"/>
              </w:rPr>
            </w:pPr>
            <w:r w:rsidRPr="00D038B2">
              <w:rPr>
                <w:noProof/>
                <w:sz w:val="20"/>
                <w:szCs w:val="20"/>
              </w:rPr>
              <w:t>N/A</w:t>
            </w:r>
          </w:p>
        </w:tc>
        <w:tc>
          <w:tcPr/>
          <w:p w:rsidR="008D5009" w:rsidRPr="00D038B2" w:rsidP="00ED6E68">
            <w:pPr>
              <w:pStyle w:val="Text1"/>
              <w:spacing w:before="0" w:after="0"/>
              <w:ind w:left="0"/>
              <w:pPrChange w:id="199" w:author="Author">
                <w:pPr>
                  <w:pStyle w:val="Text1"/>
                  <w:spacing w:before="0" w:after="0"/>
                  <w:ind w:left="0"/>
                </w:pPr>
              </w:pPrChange>
              <w:rPr>
                <w:sz w:val="20"/>
                <w:szCs w:val="20"/>
              </w:rPr>
            </w:pPr>
            <w:r>
              <w:rPr>
                <w:noProof/>
                <w:sz w:val="20"/>
                <w:szCs w:val="20"/>
              </w:rPr>
              <w:t>AP2</w:t>
            </w:r>
            <w:r>
              <w:rPr>
                <w:sz w:val="20"/>
                <w:szCs w:val="20"/>
              </w:rPr>
              <w:t xml:space="preserve"> - </w:t>
            </w:r>
            <w:r w:rsidRPr="00D038B2">
              <w:rPr>
                <w:noProof/>
                <w:sz w:val="20"/>
                <w:szCs w:val="20"/>
              </w:rPr>
              <w:t>Tehnologia informatiei si comunicatiilor (TIC) pentru o economie digitala competitiva</w:t>
            </w:r>
          </w:p>
        </w:tc>
        <w:tc>
          <w:tcPr/>
          <w:p w:rsidR="008D5009" w:rsidRPr="00D038B2" w:rsidP="00426349">
            <w:pPr>
              <w:pStyle w:val="Text1"/>
              <w:spacing w:before="0" w:after="0"/>
              <w:ind w:left="0"/>
              <w:pPrChange w:id="200" w:author="Author">
                <w:pPr>
                  <w:pStyle w:val="Text1"/>
                  <w:spacing w:before="0" w:after="0"/>
                  <w:ind w:left="0"/>
                </w:pPr>
              </w:pPrChange>
              <w:rPr>
                <w:sz w:val="20"/>
                <w:szCs w:val="20"/>
              </w:rPr>
            </w:pPr>
            <w:r>
              <w:rPr>
                <w:noProof/>
                <w:sz w:val="20"/>
                <w:szCs w:val="20"/>
              </w:rPr>
              <w:t>ERDF</w:t>
            </w:r>
          </w:p>
        </w:tc>
        <w:tc>
          <w:tcPr/>
          <w:p w:rsidR="008D5009" w:rsidRPr="00D038B2" w:rsidP="00426349">
            <w:pPr>
              <w:spacing w:before="0" w:after="0"/>
              <w:pPrChange w:id="201" w:author="Author">
                <w:pPr>
                  <w:spacing w:before="0" w:after="0"/>
                </w:pPr>
              </w:pPrChange>
              <w:rPr>
                <w:sz w:val="20"/>
                <w:szCs w:val="20"/>
              </w:rPr>
            </w:pPr>
            <w:r w:rsidRPr="00D038B2">
              <w:rPr>
                <w:noProof/>
                <w:sz w:val="20"/>
                <w:szCs w:val="20"/>
              </w:rPr>
              <w:t>More developed</w:t>
            </w:r>
          </w:p>
        </w:tc>
        <w:tc>
          <w:tcPr/>
          <w:p w:rsidR="008D5009" w:rsidRPr="00D97138" w:rsidP="00ED6E68">
            <w:pPr>
              <w:spacing w:before="0" w:after="0"/>
              <w:pPrChange w:id="202" w:author="Author">
                <w:pPr>
                  <w:spacing w:before="0" w:after="0"/>
                </w:pPr>
              </w:pPrChange>
              <w:rPr>
                <w:sz w:val="20"/>
                <w:szCs w:val="20"/>
              </w:rPr>
            </w:pPr>
            <w:r>
              <w:rPr>
                <w:noProof/>
                <w:sz w:val="20"/>
                <w:szCs w:val="20"/>
              </w:rPr>
              <w:t>2b</w:t>
            </w:r>
            <w:r>
              <w:rPr>
                <w:sz w:val="20"/>
                <w:szCs w:val="20"/>
              </w:rPr>
              <w:t xml:space="preserve"> </w:t>
            </w:r>
            <w:r>
              <w:rPr>
                <w:noProof/>
                <w:sz w:val="20"/>
                <w:szCs w:val="20"/>
              </w:rPr>
              <w:t>- Developing ICT products and services, e-commerce and enhancing demand for ICT</w:t>
            </w:r>
          </w:p>
        </w:tc>
      </w:tr>
      <w:tr w:rsidTr="00426349">
        <w:tblPrEx>
          <w:tblW w:w="5000" w:type="pct"/>
          <w:tblLook w:val="0020"/>
        </w:tblPrEx>
        <w:trPr>
          <w:trHeight w:val="340"/>
        </w:trPr>
        <w:tc>
          <w:tcPr/>
          <w:p w:rsidR="008D5009" w:rsidRPr="00D038B2" w:rsidP="005B5A3D">
            <w:pPr>
              <w:spacing w:before="0" w:after="0"/>
              <w:pPrChange w:id="203" w:author="Author">
                <w:pPr>
                  <w:spacing w:before="0" w:after="0"/>
                </w:pPr>
              </w:pPrChange>
              <w:rPr>
                <w:sz w:val="20"/>
                <w:szCs w:val="20"/>
              </w:rPr>
            </w:pPr>
            <w:r w:rsidRPr="00D038B2">
              <w:rPr>
                <w:noProof/>
                <w:sz w:val="20"/>
                <w:szCs w:val="20"/>
              </w:rPr>
              <w:t>N/A</w:t>
            </w:r>
          </w:p>
        </w:tc>
        <w:tc>
          <w:tcPr/>
          <w:p w:rsidR="008D5009" w:rsidRPr="00D038B2" w:rsidP="00426349">
            <w:pPr>
              <w:pStyle w:val="Text1"/>
              <w:spacing w:before="0" w:after="0"/>
              <w:ind w:left="0"/>
              <w:pPrChange w:id="204" w:author="Author">
                <w:pPr>
                  <w:pStyle w:val="Text1"/>
                  <w:spacing w:before="0" w:after="0"/>
                  <w:ind w:left="0"/>
                </w:pPr>
              </w:pPrChange>
              <w:rPr>
                <w:sz w:val="20"/>
                <w:szCs w:val="20"/>
              </w:rPr>
            </w:pPr>
            <w:r w:rsidRPr="00D038B2">
              <w:rPr>
                <w:noProof/>
                <w:sz w:val="20"/>
                <w:szCs w:val="20"/>
              </w:rPr>
              <w:t>N/A</w:t>
            </w:r>
          </w:p>
        </w:tc>
        <w:tc>
          <w:tcPr/>
          <w:p w:rsidR="008D5009" w:rsidRPr="00D038B2" w:rsidP="00ED6E68">
            <w:pPr>
              <w:pStyle w:val="Text1"/>
              <w:spacing w:before="0" w:after="0"/>
              <w:ind w:left="0"/>
              <w:pPrChange w:id="205" w:author="Author">
                <w:pPr>
                  <w:pStyle w:val="Text1"/>
                  <w:spacing w:before="0" w:after="0"/>
                  <w:ind w:left="0"/>
                </w:pPr>
              </w:pPrChange>
              <w:rPr>
                <w:sz w:val="20"/>
                <w:szCs w:val="20"/>
              </w:rPr>
            </w:pPr>
            <w:r>
              <w:rPr>
                <w:noProof/>
                <w:sz w:val="20"/>
                <w:szCs w:val="20"/>
              </w:rPr>
              <w:t>AP2</w:t>
            </w:r>
            <w:r>
              <w:rPr>
                <w:sz w:val="20"/>
                <w:szCs w:val="20"/>
              </w:rPr>
              <w:t xml:space="preserve"> - </w:t>
            </w:r>
            <w:r w:rsidRPr="00D038B2">
              <w:rPr>
                <w:noProof/>
                <w:sz w:val="20"/>
                <w:szCs w:val="20"/>
              </w:rPr>
              <w:t>Tehnologia informatiei si comunicatiilor (TIC) pentru o economie digitala competitiva</w:t>
            </w:r>
          </w:p>
        </w:tc>
        <w:tc>
          <w:tcPr/>
          <w:p w:rsidR="008D5009" w:rsidRPr="00D038B2" w:rsidP="00426349">
            <w:pPr>
              <w:pStyle w:val="Text1"/>
              <w:spacing w:before="0" w:after="0"/>
              <w:ind w:left="0"/>
              <w:pPrChange w:id="206" w:author="Author">
                <w:pPr>
                  <w:pStyle w:val="Text1"/>
                  <w:spacing w:before="0" w:after="0"/>
                  <w:ind w:left="0"/>
                </w:pPr>
              </w:pPrChange>
              <w:rPr>
                <w:sz w:val="20"/>
                <w:szCs w:val="20"/>
              </w:rPr>
            </w:pPr>
            <w:r>
              <w:rPr>
                <w:noProof/>
                <w:sz w:val="20"/>
                <w:szCs w:val="20"/>
              </w:rPr>
              <w:t>ERDF</w:t>
            </w:r>
          </w:p>
        </w:tc>
        <w:tc>
          <w:tcPr/>
          <w:p w:rsidR="008D5009" w:rsidRPr="00D038B2" w:rsidP="00426349">
            <w:pPr>
              <w:spacing w:before="0" w:after="0"/>
              <w:pPrChange w:id="207" w:author="Author">
                <w:pPr>
                  <w:spacing w:before="0" w:after="0"/>
                </w:pPr>
              </w:pPrChange>
              <w:rPr>
                <w:sz w:val="20"/>
                <w:szCs w:val="20"/>
              </w:rPr>
            </w:pPr>
            <w:r w:rsidRPr="00D038B2">
              <w:rPr>
                <w:noProof/>
                <w:sz w:val="20"/>
                <w:szCs w:val="20"/>
              </w:rPr>
              <w:t>Less developed</w:t>
            </w:r>
          </w:p>
        </w:tc>
        <w:tc>
          <w:tcPr/>
          <w:p w:rsidR="008D5009" w:rsidRPr="00D97138" w:rsidP="00ED6E68">
            <w:pPr>
              <w:spacing w:before="0" w:after="0"/>
              <w:pPrChange w:id="208" w:author="Author">
                <w:pPr>
                  <w:spacing w:before="0" w:after="0"/>
                </w:pPr>
              </w:pPrChange>
              <w:rPr>
                <w:sz w:val="20"/>
                <w:szCs w:val="20"/>
              </w:rPr>
            </w:pPr>
            <w:r>
              <w:rPr>
                <w:noProof/>
                <w:sz w:val="20"/>
                <w:szCs w:val="20"/>
              </w:rPr>
              <w:t>2c</w:t>
            </w:r>
            <w:r>
              <w:rPr>
                <w:sz w:val="20"/>
                <w:szCs w:val="20"/>
              </w:rPr>
              <w:t xml:space="preserve"> </w:t>
            </w:r>
            <w:r>
              <w:rPr>
                <w:noProof/>
                <w:sz w:val="20"/>
                <w:szCs w:val="20"/>
              </w:rPr>
              <w:t>- Strengthening ICT applications for e-government, e-learning, e-inclusion, e-culture and e-health</w:t>
            </w:r>
          </w:p>
        </w:tc>
      </w:tr>
      <w:tr w:rsidTr="00426349">
        <w:tblPrEx>
          <w:tblW w:w="5000" w:type="pct"/>
          <w:tblLook w:val="0020"/>
        </w:tblPrEx>
        <w:trPr>
          <w:trHeight w:val="340"/>
        </w:trPr>
        <w:tc>
          <w:tcPr/>
          <w:p w:rsidR="008D5009" w:rsidRPr="00D038B2" w:rsidP="005B5A3D">
            <w:pPr>
              <w:spacing w:before="0" w:after="0"/>
              <w:pPrChange w:id="209" w:author="Author">
                <w:pPr>
                  <w:spacing w:before="0" w:after="0"/>
                </w:pPr>
              </w:pPrChange>
              <w:rPr>
                <w:sz w:val="20"/>
                <w:szCs w:val="20"/>
              </w:rPr>
            </w:pPr>
            <w:r w:rsidRPr="00D038B2">
              <w:rPr>
                <w:noProof/>
                <w:sz w:val="20"/>
                <w:szCs w:val="20"/>
              </w:rPr>
              <w:t>N/A</w:t>
            </w:r>
          </w:p>
        </w:tc>
        <w:tc>
          <w:tcPr/>
          <w:p w:rsidR="008D5009" w:rsidRPr="00D038B2" w:rsidP="00426349">
            <w:pPr>
              <w:pStyle w:val="Text1"/>
              <w:spacing w:before="0" w:after="0"/>
              <w:ind w:left="0"/>
              <w:pPrChange w:id="210" w:author="Author">
                <w:pPr>
                  <w:pStyle w:val="Text1"/>
                  <w:spacing w:before="0" w:after="0"/>
                  <w:ind w:left="0"/>
                </w:pPr>
              </w:pPrChange>
              <w:rPr>
                <w:sz w:val="20"/>
                <w:szCs w:val="20"/>
              </w:rPr>
            </w:pPr>
            <w:r w:rsidRPr="00D038B2">
              <w:rPr>
                <w:noProof/>
                <w:sz w:val="20"/>
                <w:szCs w:val="20"/>
              </w:rPr>
              <w:t>N/A</w:t>
            </w:r>
          </w:p>
        </w:tc>
        <w:tc>
          <w:tcPr/>
          <w:p w:rsidR="008D5009" w:rsidRPr="00D038B2" w:rsidP="00ED6E68">
            <w:pPr>
              <w:pStyle w:val="Text1"/>
              <w:spacing w:before="0" w:after="0"/>
              <w:ind w:left="0"/>
              <w:pPrChange w:id="211" w:author="Author">
                <w:pPr>
                  <w:pStyle w:val="Text1"/>
                  <w:spacing w:before="0" w:after="0"/>
                  <w:ind w:left="0"/>
                </w:pPr>
              </w:pPrChange>
              <w:rPr>
                <w:sz w:val="20"/>
                <w:szCs w:val="20"/>
              </w:rPr>
            </w:pPr>
            <w:r>
              <w:rPr>
                <w:noProof/>
                <w:sz w:val="20"/>
                <w:szCs w:val="20"/>
              </w:rPr>
              <w:t>AP2</w:t>
            </w:r>
            <w:r>
              <w:rPr>
                <w:sz w:val="20"/>
                <w:szCs w:val="20"/>
              </w:rPr>
              <w:t xml:space="preserve"> - </w:t>
            </w:r>
            <w:r w:rsidRPr="00D038B2">
              <w:rPr>
                <w:noProof/>
                <w:sz w:val="20"/>
                <w:szCs w:val="20"/>
              </w:rPr>
              <w:t>Tehnologia informatiei si comunicatiilor (TIC) pentru o economie digitala competitiva</w:t>
            </w:r>
          </w:p>
        </w:tc>
        <w:tc>
          <w:tcPr/>
          <w:p w:rsidR="008D5009" w:rsidRPr="00D038B2" w:rsidP="00426349">
            <w:pPr>
              <w:pStyle w:val="Text1"/>
              <w:spacing w:before="0" w:after="0"/>
              <w:ind w:left="0"/>
              <w:pPrChange w:id="212" w:author="Author">
                <w:pPr>
                  <w:pStyle w:val="Text1"/>
                  <w:spacing w:before="0" w:after="0"/>
                  <w:ind w:left="0"/>
                </w:pPr>
              </w:pPrChange>
              <w:rPr>
                <w:sz w:val="20"/>
                <w:szCs w:val="20"/>
              </w:rPr>
            </w:pPr>
            <w:r>
              <w:rPr>
                <w:noProof/>
                <w:sz w:val="20"/>
                <w:szCs w:val="20"/>
              </w:rPr>
              <w:t>ERDF</w:t>
            </w:r>
          </w:p>
        </w:tc>
        <w:tc>
          <w:tcPr/>
          <w:p w:rsidR="008D5009" w:rsidRPr="00D038B2" w:rsidP="00426349">
            <w:pPr>
              <w:spacing w:before="0" w:after="0"/>
              <w:pPrChange w:id="213" w:author="Author">
                <w:pPr>
                  <w:spacing w:before="0" w:after="0"/>
                </w:pPr>
              </w:pPrChange>
              <w:rPr>
                <w:sz w:val="20"/>
                <w:szCs w:val="20"/>
              </w:rPr>
            </w:pPr>
            <w:r w:rsidRPr="00D038B2">
              <w:rPr>
                <w:noProof/>
                <w:sz w:val="20"/>
                <w:szCs w:val="20"/>
              </w:rPr>
              <w:t>More developed</w:t>
            </w:r>
          </w:p>
        </w:tc>
        <w:tc>
          <w:tcPr/>
          <w:p w:rsidR="008D5009" w:rsidRPr="00D97138" w:rsidP="00ED6E68">
            <w:pPr>
              <w:spacing w:before="0" w:after="0"/>
              <w:pPrChange w:id="214" w:author="Author">
                <w:pPr>
                  <w:spacing w:before="0" w:after="0"/>
                </w:pPr>
              </w:pPrChange>
              <w:rPr>
                <w:sz w:val="20"/>
                <w:szCs w:val="20"/>
              </w:rPr>
            </w:pPr>
            <w:r>
              <w:rPr>
                <w:noProof/>
                <w:sz w:val="20"/>
                <w:szCs w:val="20"/>
              </w:rPr>
              <w:t>2c</w:t>
            </w:r>
            <w:r>
              <w:rPr>
                <w:sz w:val="20"/>
                <w:szCs w:val="20"/>
              </w:rPr>
              <w:t xml:space="preserve"> </w:t>
            </w:r>
            <w:r>
              <w:rPr>
                <w:noProof/>
                <w:sz w:val="20"/>
                <w:szCs w:val="20"/>
              </w:rPr>
              <w:t>- Strengthening ICT applications for e-government, e-learning, e-inclusion, e-culture and e-health</w:t>
            </w:r>
          </w:p>
        </w:tc>
      </w:tr>
      <w:tr w:rsidTr="00426349">
        <w:tblPrEx>
          <w:tblW w:w="5000" w:type="pct"/>
          <w:tblLook w:val="0020"/>
        </w:tblPrEx>
        <w:trPr>
          <w:trHeight w:val="340"/>
        </w:trPr>
        <w:tc>
          <w:tcPr/>
          <w:p w:rsidR="008D5009" w:rsidRPr="00D038B2" w:rsidP="005B5A3D">
            <w:pPr>
              <w:spacing w:before="0" w:after="0"/>
              <w:pPrChange w:id="215" w:author="Author">
                <w:pPr>
                  <w:spacing w:before="0" w:after="0"/>
                </w:pPr>
              </w:pPrChange>
              <w:rPr>
                <w:sz w:val="20"/>
                <w:szCs w:val="20"/>
              </w:rPr>
            </w:pPr>
            <w:r w:rsidRPr="00D038B2">
              <w:rPr>
                <w:noProof/>
                <w:sz w:val="20"/>
                <w:szCs w:val="20"/>
              </w:rPr>
              <w:t>N/A</w:t>
            </w:r>
          </w:p>
        </w:tc>
        <w:tc>
          <w:tcPr/>
          <w:p w:rsidR="008D5009" w:rsidRPr="00D038B2" w:rsidP="00426349">
            <w:pPr>
              <w:pStyle w:val="Text1"/>
              <w:spacing w:before="0" w:after="0"/>
              <w:ind w:left="0"/>
              <w:pPrChange w:id="216" w:author="Author">
                <w:pPr>
                  <w:pStyle w:val="Text1"/>
                  <w:spacing w:before="0" w:after="0"/>
                  <w:ind w:left="0"/>
                </w:pPr>
              </w:pPrChange>
              <w:rPr>
                <w:sz w:val="20"/>
                <w:szCs w:val="20"/>
              </w:rPr>
            </w:pPr>
            <w:r w:rsidRPr="00D038B2">
              <w:rPr>
                <w:noProof/>
                <w:sz w:val="20"/>
                <w:szCs w:val="20"/>
              </w:rPr>
              <w:t>N/A</w:t>
            </w:r>
          </w:p>
        </w:tc>
        <w:tc>
          <w:tcPr/>
          <w:p w:rsidR="008D5009" w:rsidRPr="00D038B2" w:rsidP="00ED6E68">
            <w:pPr>
              <w:pStyle w:val="Text1"/>
              <w:spacing w:before="0" w:after="0"/>
              <w:ind w:left="0"/>
              <w:pPrChange w:id="217" w:author="Author">
                <w:pPr>
                  <w:pStyle w:val="Text1"/>
                  <w:spacing w:before="0" w:after="0"/>
                  <w:ind w:left="0"/>
                </w:pPr>
              </w:pPrChange>
              <w:rPr>
                <w:sz w:val="20"/>
                <w:szCs w:val="20"/>
              </w:rPr>
            </w:pPr>
            <w:r>
              <w:rPr>
                <w:noProof/>
                <w:sz w:val="20"/>
                <w:szCs w:val="20"/>
              </w:rPr>
              <w:t>AP3</w:t>
            </w:r>
            <w:r>
              <w:rPr>
                <w:sz w:val="20"/>
                <w:szCs w:val="20"/>
              </w:rPr>
              <w:t xml:space="preserve"> - </w:t>
            </w:r>
            <w:r w:rsidRPr="00D038B2">
              <w:rPr>
                <w:noProof/>
                <w:sz w:val="20"/>
                <w:szCs w:val="20"/>
              </w:rPr>
              <w:t>Sprijinirea IMM-urilor ca reacție la pandemia COVID -19</w:t>
            </w:r>
          </w:p>
        </w:tc>
        <w:tc>
          <w:tcPr/>
          <w:p w:rsidR="008D5009" w:rsidRPr="00D038B2" w:rsidP="00426349">
            <w:pPr>
              <w:pStyle w:val="Text1"/>
              <w:spacing w:before="0" w:after="0"/>
              <w:ind w:left="0"/>
              <w:pPrChange w:id="218" w:author="Author">
                <w:pPr>
                  <w:pStyle w:val="Text1"/>
                  <w:spacing w:before="0" w:after="0"/>
                  <w:ind w:left="0"/>
                </w:pPr>
              </w:pPrChange>
              <w:rPr>
                <w:sz w:val="20"/>
                <w:szCs w:val="20"/>
              </w:rPr>
            </w:pPr>
            <w:r>
              <w:rPr>
                <w:noProof/>
                <w:sz w:val="20"/>
                <w:szCs w:val="20"/>
              </w:rPr>
              <w:t>ERDF</w:t>
            </w:r>
          </w:p>
        </w:tc>
        <w:tc>
          <w:tcPr/>
          <w:p w:rsidR="008D5009" w:rsidRPr="00D038B2" w:rsidP="00426349">
            <w:pPr>
              <w:spacing w:before="0" w:after="0"/>
              <w:pPrChange w:id="219" w:author="Author">
                <w:pPr>
                  <w:spacing w:before="0" w:after="0"/>
                </w:pPr>
              </w:pPrChange>
              <w:rPr>
                <w:sz w:val="20"/>
                <w:szCs w:val="20"/>
              </w:rPr>
            </w:pPr>
            <w:r w:rsidRPr="00D038B2">
              <w:rPr>
                <w:noProof/>
                <w:sz w:val="20"/>
                <w:szCs w:val="20"/>
              </w:rPr>
              <w:t>Less developed</w:t>
            </w:r>
          </w:p>
        </w:tc>
        <w:tc>
          <w:tcPr/>
          <w:p w:rsidR="008D5009" w:rsidRPr="00D97138" w:rsidP="00ED6E68">
            <w:pPr>
              <w:spacing w:before="0" w:after="0"/>
              <w:pPrChange w:id="220" w:author="Author">
                <w:pPr>
                  <w:spacing w:before="0" w:after="0"/>
                </w:pPr>
              </w:pPrChange>
              <w:rPr>
                <w:sz w:val="20"/>
                <w:szCs w:val="20"/>
              </w:rPr>
            </w:pPr>
            <w:r>
              <w:rPr>
                <w:noProof/>
                <w:sz w:val="20"/>
                <w:szCs w:val="20"/>
              </w:rPr>
              <w:t>3d</w:t>
            </w:r>
            <w:r>
              <w:rPr>
                <w:sz w:val="20"/>
                <w:szCs w:val="20"/>
              </w:rPr>
              <w:t xml:space="preserve"> </w:t>
            </w:r>
            <w:r>
              <w:rPr>
                <w:noProof/>
                <w:sz w:val="20"/>
                <w:szCs w:val="20"/>
              </w:rPr>
              <w:t>- Supporting the capacity of SMEs to grow in regional, national and international markets, and to engage in innovation processes</w:t>
            </w:r>
          </w:p>
        </w:tc>
      </w:tr>
      <w:tr w:rsidTr="00426349">
        <w:tblPrEx>
          <w:tblW w:w="5000" w:type="pct"/>
          <w:tblLook w:val="0020"/>
        </w:tblPrEx>
        <w:trPr>
          <w:trHeight w:val="340"/>
        </w:trPr>
        <w:tc>
          <w:tcPr/>
          <w:p w:rsidR="008D5009" w:rsidRPr="00D038B2" w:rsidP="005B5A3D">
            <w:pPr>
              <w:spacing w:before="0" w:after="0"/>
              <w:pPrChange w:id="221" w:author="Author">
                <w:pPr>
                  <w:spacing w:before="0" w:after="0"/>
                </w:pPr>
              </w:pPrChange>
              <w:rPr>
                <w:sz w:val="20"/>
                <w:szCs w:val="20"/>
              </w:rPr>
            </w:pPr>
            <w:r w:rsidRPr="00D038B2">
              <w:rPr>
                <w:noProof/>
                <w:sz w:val="20"/>
                <w:szCs w:val="20"/>
              </w:rPr>
              <w:t>N/A</w:t>
            </w:r>
          </w:p>
        </w:tc>
        <w:tc>
          <w:tcPr/>
          <w:p w:rsidR="008D5009" w:rsidRPr="00D038B2" w:rsidP="00426349">
            <w:pPr>
              <w:pStyle w:val="Text1"/>
              <w:spacing w:before="0" w:after="0"/>
              <w:ind w:left="0"/>
              <w:pPrChange w:id="222" w:author="Author">
                <w:pPr>
                  <w:pStyle w:val="Text1"/>
                  <w:spacing w:before="0" w:after="0"/>
                  <w:ind w:left="0"/>
                </w:pPr>
              </w:pPrChange>
              <w:rPr>
                <w:sz w:val="20"/>
                <w:szCs w:val="20"/>
              </w:rPr>
            </w:pPr>
            <w:r w:rsidRPr="00D038B2">
              <w:rPr>
                <w:noProof/>
                <w:sz w:val="20"/>
                <w:szCs w:val="20"/>
              </w:rPr>
              <w:t>N/A</w:t>
            </w:r>
          </w:p>
        </w:tc>
        <w:tc>
          <w:tcPr/>
          <w:p w:rsidR="008D5009" w:rsidRPr="00D038B2" w:rsidP="00ED6E68">
            <w:pPr>
              <w:pStyle w:val="Text1"/>
              <w:spacing w:before="0" w:after="0"/>
              <w:ind w:left="0"/>
              <w:pPrChange w:id="223" w:author="Author">
                <w:pPr>
                  <w:pStyle w:val="Text1"/>
                  <w:spacing w:before="0" w:after="0"/>
                  <w:ind w:left="0"/>
                </w:pPr>
              </w:pPrChange>
              <w:rPr>
                <w:sz w:val="20"/>
                <w:szCs w:val="20"/>
              </w:rPr>
            </w:pPr>
            <w:r>
              <w:rPr>
                <w:noProof/>
                <w:sz w:val="20"/>
                <w:szCs w:val="20"/>
              </w:rPr>
              <w:t>AP3</w:t>
            </w:r>
            <w:r>
              <w:rPr>
                <w:sz w:val="20"/>
                <w:szCs w:val="20"/>
              </w:rPr>
              <w:t xml:space="preserve"> - </w:t>
            </w:r>
            <w:r w:rsidRPr="00D038B2">
              <w:rPr>
                <w:noProof/>
                <w:sz w:val="20"/>
                <w:szCs w:val="20"/>
              </w:rPr>
              <w:t>Sprijinirea IMM-urilor ca reacție la pandemia COVID -19</w:t>
            </w:r>
          </w:p>
        </w:tc>
        <w:tc>
          <w:tcPr/>
          <w:p w:rsidR="008D5009" w:rsidRPr="00D038B2" w:rsidP="00426349">
            <w:pPr>
              <w:pStyle w:val="Text1"/>
              <w:spacing w:before="0" w:after="0"/>
              <w:ind w:left="0"/>
              <w:pPrChange w:id="224" w:author="Author">
                <w:pPr>
                  <w:pStyle w:val="Text1"/>
                  <w:spacing w:before="0" w:after="0"/>
                  <w:ind w:left="0"/>
                </w:pPr>
              </w:pPrChange>
              <w:rPr>
                <w:sz w:val="20"/>
                <w:szCs w:val="20"/>
              </w:rPr>
            </w:pPr>
            <w:r>
              <w:rPr>
                <w:noProof/>
                <w:sz w:val="20"/>
                <w:szCs w:val="20"/>
              </w:rPr>
              <w:t>ERDF</w:t>
            </w:r>
          </w:p>
        </w:tc>
        <w:tc>
          <w:tcPr/>
          <w:p w:rsidR="008D5009" w:rsidRPr="00D038B2" w:rsidP="00426349">
            <w:pPr>
              <w:spacing w:before="0" w:after="0"/>
              <w:pPrChange w:id="225" w:author="Author">
                <w:pPr>
                  <w:spacing w:before="0" w:after="0"/>
                </w:pPr>
              </w:pPrChange>
              <w:rPr>
                <w:sz w:val="20"/>
                <w:szCs w:val="20"/>
              </w:rPr>
            </w:pPr>
            <w:r w:rsidRPr="00D038B2">
              <w:rPr>
                <w:noProof/>
                <w:sz w:val="20"/>
                <w:szCs w:val="20"/>
              </w:rPr>
              <w:t>More developed</w:t>
            </w:r>
          </w:p>
        </w:tc>
        <w:tc>
          <w:tcPr/>
          <w:p w:rsidR="008D5009" w:rsidRPr="00D97138" w:rsidP="00ED6E68">
            <w:pPr>
              <w:spacing w:before="0" w:after="0"/>
              <w:pPrChange w:id="226" w:author="Author">
                <w:pPr>
                  <w:spacing w:before="0" w:after="0"/>
                </w:pPr>
              </w:pPrChange>
              <w:rPr>
                <w:sz w:val="20"/>
                <w:szCs w:val="20"/>
              </w:rPr>
            </w:pPr>
            <w:r>
              <w:rPr>
                <w:noProof/>
                <w:sz w:val="20"/>
                <w:szCs w:val="20"/>
              </w:rPr>
              <w:t>3d</w:t>
            </w:r>
            <w:r>
              <w:rPr>
                <w:sz w:val="20"/>
                <w:szCs w:val="20"/>
              </w:rPr>
              <w:t xml:space="preserve"> </w:t>
            </w:r>
            <w:r>
              <w:rPr>
                <w:noProof/>
                <w:sz w:val="20"/>
                <w:szCs w:val="20"/>
              </w:rPr>
              <w:t>- Supporting the capacity of SMEs to grow in regional, national and international markets, and to engage in innovation processes</w:t>
            </w:r>
          </w:p>
        </w:tc>
      </w:tr>
    </w:tbl>
    <w:p w:rsidR="008D5009" w:rsidP="008D5009">
      <w:pPr>
        <w:pStyle w:val="Heading1"/>
        <w:numPr>
          <w:ilvl w:val="0"/>
          <w:numId w:val="15"/>
        </w:numPr>
        <w:tabs>
          <w:tab w:val="num" w:pos="850"/>
          <w:tab w:val="clear" w:pos="992"/>
        </w:tabs>
        <w:spacing w:before="0" w:after="0"/>
        <w:ind w:left="850"/>
        <w:jc w:val="left"/>
        <w:sectPr w:rsidSect="00426349">
          <w:footerReference w:type="default" r:id="rId19"/>
          <w:pgSz w:w="16838" w:h="11906" w:orient="landscape"/>
          <w:pgMar w:top="1584" w:right="1022" w:bottom="1699" w:left="1022" w:header="283" w:footer="283" w:gutter="0"/>
          <w:cols w:space="708"/>
          <w:docGrid w:linePitch="360"/>
        </w:sectPr>
      </w:pPr>
    </w:p>
    <w:p w:rsidR="008D5009" w:rsidP="008D5009">
      <w:pPr>
        <w:pStyle w:val="Heading1"/>
        <w:numPr>
          <w:ilvl w:val="0"/>
          <w:numId w:val="0"/>
        </w:numPr>
        <w:spacing w:before="0" w:after="0"/>
      </w:pPr>
      <w:bookmarkStart w:id="227" w:name="_Toc256000109"/>
      <w:r>
        <w:rPr>
          <w:noProof/>
        </w:rPr>
        <w:t>6. SPECIFIC NEEDS OF GEOGRAPHICAL AREAS WHICH SUFFER FROM SEVERE AND PERMANENT NATURAL OR DEMOGRAPHIC HANDICAPS</w:t>
      </w:r>
      <w:bookmarkStart w:id="228" w:name="_Toc512434595"/>
      <w:bookmarkStart w:id="229" w:name="_Toc25666871"/>
      <w:bookmarkStart w:id="230" w:name="_Toc27646478"/>
      <w:r>
        <w:t xml:space="preserve"> </w:t>
      </w:r>
      <w:r w:rsidRPr="00F403B2">
        <w:rPr>
          <w:b w:val="0"/>
          <w:noProof/>
        </w:rPr>
        <w:t>(WHERE APPROPRIATE)</w:t>
      </w:r>
      <w:bookmarkEnd w:id="227"/>
      <w:bookmarkEnd w:id="228"/>
      <w:bookmarkEnd w:id="229"/>
      <w:bookmarkEnd w:id="230"/>
    </w:p>
    <w:p w:rsidR="008D5009" w:rsidP="008D5009">
      <w:pPr>
        <w:pStyle w:val="Text1"/>
        <w:spacing w:before="0" w:after="0"/>
        <w:ind w:left="0"/>
      </w:pPr>
    </w:p>
    <w:p>
      <w:pPr>
        <w:spacing w:before="0" w:after="240"/>
        <w:jc w:val="left"/>
        <w:rPr>
          <w:rFonts w:ascii="Times New Roman" w:eastAsia="Times New Roman" w:hAnsi="Times New Roman" w:cs="Times New Roman"/>
        </w:rPr>
      </w:pPr>
      <w:r>
        <w:rPr>
          <w:rFonts w:ascii="Times New Roman" w:eastAsia="Times New Roman" w:hAnsi="Times New Roman" w:cs="Times New Roman"/>
        </w:rPr>
        <w:t>N/A</w:t>
      </w:r>
    </w:p>
    <w:p w:rsidR="008D5009" w:rsidRPr="00DC028E" w:rsidP="008D5009">
      <w:pPr>
        <w:pStyle w:val="Text1"/>
        <w:spacing w:before="0" w:after="0"/>
        <w:ind w:left="0"/>
      </w:pPr>
    </w:p>
    <w:p w:rsidR="008D5009" w:rsidP="008D5009">
      <w:pPr>
        <w:pStyle w:val="Heading1"/>
        <w:numPr>
          <w:ilvl w:val="0"/>
          <w:numId w:val="15"/>
        </w:numPr>
        <w:tabs>
          <w:tab w:val="num" w:pos="850"/>
          <w:tab w:val="clear" w:pos="992"/>
        </w:tabs>
        <w:spacing w:before="0" w:after="0"/>
        <w:ind w:left="850"/>
        <w:jc w:val="left"/>
        <w:sectPr w:rsidSect="00426349">
          <w:footerReference w:type="default" r:id="rId20"/>
          <w:pgSz w:w="11906" w:h="16838"/>
          <w:pgMar w:top="1022" w:right="1699" w:bottom="1022" w:left="1584" w:header="283" w:footer="283" w:gutter="0"/>
          <w:cols w:space="708"/>
          <w:docGrid w:linePitch="360"/>
        </w:sectPr>
      </w:pPr>
    </w:p>
    <w:p w:rsidR="008D5009" w:rsidP="008D5009">
      <w:pPr>
        <w:pStyle w:val="Heading1"/>
        <w:keepLines/>
        <w:numPr>
          <w:ilvl w:val="0"/>
          <w:numId w:val="0"/>
        </w:numPr>
        <w:spacing w:before="0" w:after="0"/>
      </w:pPr>
      <w:bookmarkStart w:id="231" w:name="_Toc256000110"/>
      <w:r>
        <w:rPr>
          <w:noProof/>
        </w:rPr>
        <w:t>7. AUTHORITIES AND BODIES RESPONSIBLE FOR MANAGEMENT, CONTROL AND AUDIT AND THE ROLE OF RELEVANT PARTNERS</w:t>
      </w:r>
      <w:bookmarkEnd w:id="231"/>
    </w:p>
    <w:p w:rsidR="008D5009" w:rsidRPr="00DF0174" w:rsidP="008D5009">
      <w:pPr>
        <w:pStyle w:val="Text1"/>
        <w:keepNext/>
        <w:keepLines/>
        <w:spacing w:before="0" w:after="0"/>
        <w:ind w:left="0"/>
      </w:pPr>
    </w:p>
    <w:p w:rsidR="008D5009" w:rsidP="008D5009">
      <w:pPr>
        <w:pStyle w:val="Heading2"/>
        <w:keepLines/>
        <w:numPr>
          <w:ilvl w:val="0"/>
          <w:numId w:val="0"/>
        </w:numPr>
        <w:spacing w:before="0" w:after="0"/>
      </w:pPr>
      <w:bookmarkStart w:id="232" w:name="_Toc256000111"/>
      <w:r>
        <w:rPr>
          <w:noProof/>
        </w:rPr>
        <w:t>7.1 Relevant authorities and bodies</w:t>
      </w:r>
      <w:bookmarkEnd w:id="232"/>
    </w:p>
    <w:p w:rsidR="008D5009" w:rsidRPr="00DF0174" w:rsidP="008D5009">
      <w:pPr>
        <w:pStyle w:val="Text1"/>
        <w:keepNext/>
        <w:keepLines/>
        <w:spacing w:before="0" w:after="0"/>
        <w:ind w:left="0"/>
      </w:pPr>
    </w:p>
    <w:p w:rsidR="008D5009" w:rsidP="008D5009">
      <w:pPr>
        <w:keepNext/>
        <w:keepLines/>
        <w:suppressAutoHyphens/>
        <w:spacing w:before="0" w:after="0"/>
        <w:rPr>
          <w:b/>
        </w:rPr>
      </w:pPr>
      <w:r>
        <w:rPr>
          <w:b/>
          <w:noProof/>
        </w:rPr>
        <w:t>Table 23: Relevant authorities and bodies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1558"/>
        <w:gridCol w:w="1538"/>
        <w:gridCol w:w="1529"/>
        <w:gridCol w:w="1263"/>
        <w:gridCol w:w="2714"/>
      </w:tblGrid>
      <w:tr w:rsidTr="00D3259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blHeader/>
        </w:trPr>
        <w:tc>
          <w:tcPr>
            <w:shd w:val="clear" w:color="auto" w:fill="auto"/>
          </w:tcPr>
          <w:p w:rsidR="00D3259A" w:rsidRPr="00725837" w:rsidP="00426349">
            <w:pPr>
              <w:suppressAutoHyphens/>
              <w:spacing w:before="0" w:after="0"/>
              <w:jc w:val="center"/>
              <w:rPr>
                <w:b/>
                <w:sz w:val="20"/>
              </w:rPr>
            </w:pPr>
            <w:r>
              <w:rPr>
                <w:b/>
                <w:noProof/>
                <w:sz w:val="20"/>
              </w:rPr>
              <w:t>Authority/body</w:t>
            </w:r>
          </w:p>
        </w:tc>
        <w:tc>
          <w:tcPr>
            <w:shd w:val="clear" w:color="auto" w:fill="auto"/>
          </w:tcPr>
          <w:p w:rsidR="00D3259A" w:rsidRPr="00502742" w:rsidP="00426349">
            <w:pPr>
              <w:suppressAutoHyphens/>
              <w:spacing w:before="0" w:after="0"/>
              <w:jc w:val="center"/>
              <w:rPr>
                <w:b/>
                <w:color w:val="FF0000"/>
                <w:sz w:val="20"/>
                <w:lang w:val="pl-PL"/>
              </w:rPr>
            </w:pPr>
            <w:r w:rsidRPr="00502742">
              <w:rPr>
                <w:b/>
                <w:noProof/>
                <w:sz w:val="20"/>
                <w:lang w:val="pl-PL"/>
              </w:rPr>
              <w:t>Name of authority/body and department or unit</w:t>
            </w:r>
          </w:p>
        </w:tc>
        <w:tc>
          <w:tcPr/>
          <w:p w:rsidR="00D3259A" w:rsidP="00426349">
            <w:pPr>
              <w:suppressAutoHyphens/>
              <w:spacing w:before="0" w:after="0"/>
              <w:jc w:val="center"/>
              <w:rPr>
                <w:b/>
                <w:sz w:val="20"/>
                <w:lang w:val="pl-PL"/>
              </w:rPr>
            </w:pPr>
            <w:r>
              <w:rPr>
                <w:b/>
                <w:noProof/>
                <w:sz w:val="20"/>
                <w:lang w:val="pl-PL"/>
              </w:rPr>
              <w:t>Name of the person responsible for the authority/body (position or post)</w:t>
            </w:r>
          </w:p>
        </w:tc>
        <w:tc>
          <w:tcPr/>
          <w:p w:rsidR="00D3259A" w:rsidP="00D3259A">
            <w:pPr>
              <w:suppressAutoHyphens/>
              <w:spacing w:before="0" w:after="0"/>
              <w:jc w:val="center"/>
              <w:rPr>
                <w:b/>
                <w:sz w:val="20"/>
                <w:lang w:val="pl-PL"/>
              </w:rPr>
            </w:pPr>
            <w:r>
              <w:rPr>
                <w:b/>
                <w:noProof/>
                <w:sz w:val="20"/>
                <w:lang w:val="pl-PL"/>
              </w:rPr>
              <w:t>Address</w:t>
            </w:r>
          </w:p>
        </w:tc>
        <w:tc>
          <w:tcPr>
            <w:shd w:val="clear" w:color="auto" w:fill="auto"/>
          </w:tcPr>
          <w:p w:rsidR="00D3259A" w:rsidRPr="008726F3" w:rsidP="00426349">
            <w:pPr>
              <w:suppressAutoHyphens/>
              <w:spacing w:before="0" w:after="0"/>
              <w:jc w:val="center"/>
              <w:rPr>
                <w:b/>
                <w:color w:val="FF0000"/>
                <w:sz w:val="20"/>
                <w:lang w:val="pl-PL"/>
              </w:rPr>
            </w:pPr>
            <w:r>
              <w:rPr>
                <w:b/>
                <w:noProof/>
                <w:sz w:val="20"/>
                <w:lang w:val="pl-PL"/>
              </w:rPr>
              <w:t>Email</w:t>
            </w:r>
          </w:p>
        </w:tc>
      </w:tr>
      <w:tr w:rsidTr="00D3259A">
        <w:tblPrEx>
          <w:tblW w:w="5000" w:type="pct"/>
          <w:tblLook w:val="0020"/>
        </w:tblPrEx>
        <w:tc>
          <w:tcPr>
            <w:shd w:val="clear" w:color="auto" w:fill="auto"/>
          </w:tcPr>
          <w:p w:rsidR="00D3259A" w:rsidRPr="00DC028E" w:rsidP="00D3259A">
            <w:pPr>
              <w:suppressAutoHyphens/>
              <w:spacing w:before="0" w:after="0"/>
              <w:jc w:val="left"/>
              <w:rPr>
                <w:sz w:val="20"/>
              </w:rPr>
            </w:pPr>
            <w:r>
              <w:rPr>
                <w:noProof/>
                <w:sz w:val="20"/>
              </w:rPr>
              <w:t>Managing authority</w:t>
            </w:r>
          </w:p>
        </w:tc>
        <w:tc>
          <w:tcPr>
            <w:shd w:val="clear" w:color="auto" w:fill="auto"/>
          </w:tcPr>
          <w:p w:rsidR="00D3259A" w:rsidRPr="00DC028E" w:rsidP="00D3259A">
            <w:pPr>
              <w:suppressAutoHyphens/>
              <w:spacing w:before="0" w:after="0"/>
              <w:jc w:val="left"/>
              <w:rPr>
                <w:sz w:val="20"/>
              </w:rPr>
            </w:pPr>
            <w:r>
              <w:rPr>
                <w:noProof/>
                <w:sz w:val="20"/>
              </w:rPr>
              <w:t>Ministerul DFondurilor Europene</w:t>
            </w:r>
          </w:p>
        </w:tc>
        <w:tc>
          <w:tcPr/>
          <w:p w:rsidR="00D3259A" w:rsidP="00D3259A">
            <w:pPr>
              <w:suppressAutoHyphens/>
              <w:spacing w:before="0" w:after="0"/>
              <w:jc w:val="left"/>
              <w:rPr>
                <w:sz w:val="20"/>
              </w:rPr>
            </w:pPr>
            <w:r>
              <w:rPr>
                <w:noProof/>
                <w:sz w:val="20"/>
              </w:rPr>
              <w:t>Ana Maria Bușoniu, Director General</w:t>
            </w:r>
          </w:p>
        </w:tc>
        <w:tc>
          <w:tcPr/>
          <w:p w:rsidR="00D3259A" w:rsidP="00287E62">
            <w:pPr>
              <w:suppressAutoHyphens/>
              <w:spacing w:before="0" w:after="0"/>
              <w:jc w:val="left"/>
              <w:rPr>
                <w:sz w:val="20"/>
              </w:rPr>
            </w:pPr>
            <w:r w:rsidR="00287E62">
              <w:rPr>
                <w:noProof/>
                <w:sz w:val="20"/>
              </w:rPr>
              <w:t>Șos. Bucuresti-Ploiesti, nr. 1 – 1B, Victoria Office Intrarea str. Menuetului, nr. 7, Sector 1, București</w:t>
            </w:r>
          </w:p>
        </w:tc>
        <w:tc>
          <w:tcPr>
            <w:shd w:val="clear" w:color="auto" w:fill="auto"/>
          </w:tcPr>
          <w:p w:rsidR="00D3259A" w:rsidRPr="00DC028E" w:rsidP="00D3259A">
            <w:pPr>
              <w:suppressAutoHyphens/>
              <w:spacing w:before="0" w:after="0"/>
              <w:jc w:val="left"/>
              <w:rPr>
                <w:sz w:val="20"/>
              </w:rPr>
            </w:pPr>
            <w:r w:rsidR="00287E62">
              <w:rPr>
                <w:noProof/>
                <w:sz w:val="20"/>
              </w:rPr>
              <w:t>anamaria.busoniu@mfe.gov.ro</w:t>
            </w:r>
          </w:p>
        </w:tc>
      </w:tr>
      <w:tr w:rsidTr="00D3259A">
        <w:tblPrEx>
          <w:tblW w:w="5000" w:type="pct"/>
          <w:tblLook w:val="0020"/>
        </w:tblPrEx>
        <w:tc>
          <w:tcPr>
            <w:shd w:val="clear" w:color="auto" w:fill="auto"/>
          </w:tcPr>
          <w:p w:rsidR="00D3259A" w:rsidRPr="00DC028E" w:rsidP="00D3259A">
            <w:pPr>
              <w:suppressAutoHyphens/>
              <w:spacing w:before="0" w:after="0"/>
              <w:jc w:val="left"/>
              <w:rPr>
                <w:sz w:val="20"/>
              </w:rPr>
            </w:pPr>
            <w:r>
              <w:rPr>
                <w:noProof/>
                <w:sz w:val="20"/>
              </w:rPr>
              <w:t>Certifying authority</w:t>
            </w:r>
          </w:p>
        </w:tc>
        <w:tc>
          <w:tcPr>
            <w:shd w:val="clear" w:color="auto" w:fill="auto"/>
          </w:tcPr>
          <w:p w:rsidR="00D3259A" w:rsidRPr="00DC028E" w:rsidP="00D3259A">
            <w:pPr>
              <w:suppressAutoHyphens/>
              <w:spacing w:before="0" w:after="0"/>
              <w:jc w:val="left"/>
              <w:rPr>
                <w:sz w:val="20"/>
              </w:rPr>
            </w:pPr>
            <w:r>
              <w:rPr>
                <w:noProof/>
                <w:sz w:val="20"/>
              </w:rPr>
              <w:t>Ministerul Finantelor Publice - Autoritatea de Certificare</w:t>
            </w:r>
          </w:p>
        </w:tc>
        <w:tc>
          <w:tcPr/>
          <w:p w:rsidR="00D3259A" w:rsidP="00D3259A">
            <w:pPr>
              <w:suppressAutoHyphens/>
              <w:spacing w:before="0" w:after="0"/>
              <w:jc w:val="left"/>
              <w:rPr>
                <w:sz w:val="20"/>
              </w:rPr>
            </w:pPr>
            <w:r>
              <w:rPr>
                <w:noProof/>
                <w:sz w:val="20"/>
              </w:rPr>
              <w:t>Lucica Tarara, Director General</w:t>
            </w:r>
          </w:p>
        </w:tc>
        <w:tc>
          <w:tcPr/>
          <w:p w:rsidR="00D3259A" w:rsidP="00287E62">
            <w:pPr>
              <w:suppressAutoHyphens/>
              <w:spacing w:before="0" w:after="0"/>
              <w:jc w:val="left"/>
              <w:rPr>
                <w:sz w:val="20"/>
              </w:rPr>
            </w:pPr>
            <w:r w:rsidR="00287E62">
              <w:rPr>
                <w:noProof/>
                <w:sz w:val="20"/>
              </w:rPr>
              <w:t>Mircea Voda 44, sector 3 Bucuresti</w:t>
            </w:r>
          </w:p>
        </w:tc>
        <w:tc>
          <w:tcPr>
            <w:shd w:val="clear" w:color="auto" w:fill="auto"/>
          </w:tcPr>
          <w:p w:rsidR="00D3259A" w:rsidRPr="00DC028E" w:rsidP="00D3259A">
            <w:pPr>
              <w:suppressAutoHyphens/>
              <w:spacing w:before="0" w:after="0"/>
              <w:jc w:val="left"/>
              <w:rPr>
                <w:sz w:val="20"/>
              </w:rPr>
            </w:pPr>
            <w:r w:rsidR="00287E62">
              <w:rPr>
                <w:noProof/>
                <w:sz w:val="20"/>
              </w:rPr>
              <w:t>lucica.tarara@mfinante.ro</w:t>
            </w:r>
          </w:p>
        </w:tc>
      </w:tr>
      <w:tr w:rsidTr="00D3259A">
        <w:tblPrEx>
          <w:tblW w:w="5000" w:type="pct"/>
          <w:tblLook w:val="0020"/>
        </w:tblPrEx>
        <w:tc>
          <w:tcPr>
            <w:shd w:val="clear" w:color="auto" w:fill="auto"/>
          </w:tcPr>
          <w:p w:rsidR="00D3259A" w:rsidRPr="00DC028E" w:rsidP="00D3259A">
            <w:pPr>
              <w:suppressAutoHyphens/>
              <w:spacing w:before="0" w:after="0"/>
              <w:jc w:val="left"/>
              <w:rPr>
                <w:sz w:val="20"/>
              </w:rPr>
            </w:pPr>
            <w:r>
              <w:rPr>
                <w:noProof/>
                <w:sz w:val="20"/>
              </w:rPr>
              <w:t>Audit authority</w:t>
            </w:r>
          </w:p>
        </w:tc>
        <w:tc>
          <w:tcPr>
            <w:shd w:val="clear" w:color="auto" w:fill="auto"/>
          </w:tcPr>
          <w:p w:rsidR="00D3259A" w:rsidRPr="00DC028E" w:rsidP="00D3259A">
            <w:pPr>
              <w:suppressAutoHyphens/>
              <w:spacing w:before="0" w:after="0"/>
              <w:jc w:val="left"/>
              <w:rPr>
                <w:sz w:val="20"/>
              </w:rPr>
            </w:pPr>
            <w:r>
              <w:rPr>
                <w:noProof/>
                <w:sz w:val="20"/>
              </w:rPr>
              <w:t>Autoritatea de Audit (Organism independent pe langa Curtea de Conturi a Romaniei)</w:t>
            </w:r>
          </w:p>
        </w:tc>
        <w:tc>
          <w:tcPr/>
          <w:p w:rsidR="00D3259A" w:rsidP="00D3259A">
            <w:pPr>
              <w:suppressAutoHyphens/>
              <w:spacing w:before="0" w:after="0"/>
              <w:jc w:val="left"/>
              <w:rPr>
                <w:sz w:val="20"/>
              </w:rPr>
            </w:pPr>
            <w:r>
              <w:rPr>
                <w:noProof/>
                <w:sz w:val="20"/>
              </w:rPr>
              <w:t>Aron Ioan Popa, Presedinte</w:t>
            </w:r>
          </w:p>
        </w:tc>
        <w:tc>
          <w:tcPr/>
          <w:p w:rsidR="00D3259A" w:rsidP="00287E62">
            <w:pPr>
              <w:suppressAutoHyphens/>
              <w:spacing w:before="0" w:after="0"/>
              <w:jc w:val="left"/>
              <w:rPr>
                <w:sz w:val="20"/>
              </w:rPr>
            </w:pPr>
            <w:r w:rsidR="00287E62">
              <w:rPr>
                <w:noProof/>
                <w:sz w:val="20"/>
              </w:rPr>
              <w:t>General Ernest Brosteanu nr 20 sector 1 Bucuresti</w:t>
            </w:r>
          </w:p>
        </w:tc>
        <w:tc>
          <w:tcPr>
            <w:shd w:val="clear" w:color="auto" w:fill="auto"/>
          </w:tcPr>
          <w:p w:rsidR="00D3259A" w:rsidRPr="00DC028E" w:rsidP="00D3259A">
            <w:pPr>
              <w:suppressAutoHyphens/>
              <w:spacing w:before="0" w:after="0"/>
              <w:jc w:val="left"/>
              <w:rPr>
                <w:sz w:val="20"/>
              </w:rPr>
            </w:pPr>
            <w:r w:rsidR="00287E62">
              <w:rPr>
                <w:noProof/>
                <w:sz w:val="20"/>
              </w:rPr>
              <w:t>aron.popa@rcc.ro</w:t>
            </w:r>
          </w:p>
        </w:tc>
      </w:tr>
      <w:tr w:rsidTr="00D3259A">
        <w:tblPrEx>
          <w:tblW w:w="5000" w:type="pct"/>
          <w:tblLook w:val="0020"/>
        </w:tblPrEx>
        <w:tc>
          <w:tcPr>
            <w:shd w:val="clear" w:color="auto" w:fill="auto"/>
          </w:tcPr>
          <w:p w:rsidR="00D3259A" w:rsidRPr="00DC028E" w:rsidP="00D3259A">
            <w:pPr>
              <w:suppressAutoHyphens/>
              <w:spacing w:before="0" w:after="0"/>
              <w:jc w:val="left"/>
              <w:rPr>
                <w:sz w:val="20"/>
              </w:rPr>
            </w:pPr>
            <w:r>
              <w:rPr>
                <w:noProof/>
                <w:sz w:val="20"/>
              </w:rPr>
              <w:t>Body to which Commission will make payments</w:t>
            </w:r>
          </w:p>
        </w:tc>
        <w:tc>
          <w:tcPr>
            <w:shd w:val="clear" w:color="auto" w:fill="auto"/>
          </w:tcPr>
          <w:p w:rsidR="00D3259A" w:rsidRPr="00DC028E" w:rsidP="00D3259A">
            <w:pPr>
              <w:suppressAutoHyphens/>
              <w:spacing w:before="0" w:after="0"/>
              <w:jc w:val="left"/>
              <w:rPr>
                <w:sz w:val="20"/>
              </w:rPr>
            </w:pPr>
            <w:r>
              <w:rPr>
                <w:noProof/>
                <w:sz w:val="20"/>
              </w:rPr>
              <w:t>Ministerul Finantelor Publice - Autoritatea de Certificare</w:t>
            </w:r>
          </w:p>
        </w:tc>
        <w:tc>
          <w:tcPr/>
          <w:p w:rsidR="00D3259A" w:rsidP="00D3259A">
            <w:pPr>
              <w:suppressAutoHyphens/>
              <w:spacing w:before="0" w:after="0"/>
              <w:jc w:val="left"/>
              <w:rPr>
                <w:sz w:val="20"/>
              </w:rPr>
            </w:pPr>
            <w:r>
              <w:rPr>
                <w:noProof/>
                <w:sz w:val="20"/>
              </w:rPr>
              <w:t>Lucica Tarara, Director General</w:t>
            </w:r>
          </w:p>
        </w:tc>
        <w:tc>
          <w:tcPr/>
          <w:p w:rsidR="00D3259A" w:rsidP="00287E62">
            <w:pPr>
              <w:suppressAutoHyphens/>
              <w:spacing w:before="0" w:after="0"/>
              <w:jc w:val="left"/>
              <w:rPr>
                <w:sz w:val="20"/>
              </w:rPr>
            </w:pPr>
            <w:r w:rsidR="00287E62">
              <w:rPr>
                <w:noProof/>
                <w:sz w:val="20"/>
              </w:rPr>
              <w:t>Mircea Voda 44, sector 3, Bucuresti</w:t>
            </w:r>
          </w:p>
        </w:tc>
        <w:tc>
          <w:tcPr>
            <w:shd w:val="clear" w:color="auto" w:fill="auto"/>
          </w:tcPr>
          <w:p w:rsidR="00D3259A" w:rsidRPr="00DC028E" w:rsidP="00D3259A">
            <w:pPr>
              <w:suppressAutoHyphens/>
              <w:spacing w:before="0" w:after="0"/>
              <w:jc w:val="left"/>
              <w:rPr>
                <w:sz w:val="20"/>
              </w:rPr>
            </w:pPr>
            <w:r w:rsidR="00287E62">
              <w:rPr>
                <w:noProof/>
                <w:sz w:val="20"/>
              </w:rPr>
              <w:t>lucica.tarara@mfinante.ro</w:t>
            </w:r>
          </w:p>
        </w:tc>
      </w:tr>
    </w:tbl>
    <w:p w:rsidR="008D5009" w:rsidP="008D5009">
      <w:pPr>
        <w:spacing w:before="0" w:after="0"/>
      </w:pPr>
    </w:p>
    <w:p w:rsidR="008D5009" w:rsidP="008D5009">
      <w:pPr>
        <w:pStyle w:val="Heading2"/>
        <w:keepLines/>
        <w:numPr>
          <w:ilvl w:val="0"/>
          <w:numId w:val="0"/>
        </w:numPr>
        <w:spacing w:before="0" w:after="0"/>
        <w:rPr>
          <w:noProof/>
        </w:rPr>
      </w:pPr>
      <w:bookmarkStart w:id="233" w:name="_Toc256000112"/>
      <w:r>
        <w:rPr>
          <w:noProof/>
        </w:rPr>
        <w:t>7.2 Involvement of relevant partners</w:t>
      </w:r>
      <w:bookmarkEnd w:id="233"/>
    </w:p>
    <w:p w:rsidR="008D5009" w:rsidRPr="00257870" w:rsidP="008D5009">
      <w:pPr>
        <w:pStyle w:val="Text1"/>
        <w:keepNext/>
        <w:keepLines/>
        <w:spacing w:before="0" w:after="0"/>
        <w:ind w:left="0"/>
      </w:pPr>
    </w:p>
    <w:p w:rsidR="008D5009" w:rsidRPr="006F5954" w:rsidP="008D5009">
      <w:pPr>
        <w:pStyle w:val="ManualHeading3"/>
        <w:keepLines/>
        <w:tabs>
          <w:tab w:val="left" w:pos="0"/>
          <w:tab w:val="clear" w:pos="850"/>
        </w:tabs>
        <w:spacing w:before="0" w:after="0"/>
        <w:ind w:left="0" w:firstLine="0"/>
        <w:rPr>
          <w:b/>
        </w:rPr>
      </w:pPr>
      <w:bookmarkStart w:id="234" w:name="_Toc256000113"/>
      <w:r w:rsidRPr="006F5954">
        <w:rPr>
          <w:b/>
          <w:noProof/>
        </w:rPr>
        <w:t>7.2.1 Actions taken to involve the relevant partners in the preparation of the operational programme, and the role of those partners in the implementation, monitoring and evaluation of the programme</w:t>
      </w:r>
      <w:bookmarkEnd w:id="234"/>
    </w:p>
    <w:p>
      <w:pPr>
        <w:spacing w:before="0" w:after="240"/>
        <w:jc w:val="left"/>
        <w:rPr>
          <w:rFonts w:ascii="Times New Roman" w:eastAsia="Times New Roman" w:hAnsi="Times New Roman" w:cs="Times New Roman"/>
        </w:rPr>
      </w:pPr>
      <w:r>
        <w:rPr>
          <w:rFonts w:ascii="Times New Roman" w:eastAsia="Times New Roman" w:hAnsi="Times New Roman" w:cs="Times New Roman"/>
        </w:rPr>
        <w:t>POC a fost elaborat sub coordonarea Ministerului Fondurilor Europene – în calitate de autoritate de management. Instituţiile publice direct implicate în elaborarea  celor două axe prioritare care au asigurat consultărilor cu partenerii relevanti publici și privați au fost MEN prin OI pentru POS CEE, pentru AP1 – CDI, respectiv MSI pentru AP2 – TIC. Aceste instituții vor fi implicate și în implementarea POC, în calitate de organisme intermediare.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demersul de stabilire a intervenţiilor, cele două instituţii publice menţionate mai sus au implicat, de asemenea, o serie de parteneri relevanţi. Astfel, pentru AP1, au fost implicaţi următorii parteneri publici relevanţi:</w:t>
      </w:r>
    </w:p>
    <w:p>
      <w:pPr>
        <w:numPr>
          <w:ilvl w:val="0"/>
          <w:numId w:val="5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Ministerul Economiei – pentru a asigura corelarea cu prevederile Strategiei Naţionale de Competitivitate</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Ministerul Sănătăţii - pentru a asigura corelarea cu prevederile Strategiei Naționale de Sănătate 2014-2020, având în vedere că POC va sprijini prin Axa 1 cercetarea şi inovarea în domeniul sănătății</w:t>
      </w:r>
    </w:p>
    <w:p>
      <w:pPr>
        <w:numPr>
          <w:ilvl w:val="0"/>
          <w:numId w:val="5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Autorităţi publice locale/judeţene – pentru planificarea proiectelor majore Extreme Light Infrastructure - Nuclear Physics (ELI-NP) şi Centrul Internațional de Studii Avansate privind Sistemele Fluviu-Deltă-Mare (DANUBIUS – RI)</w:t>
      </w:r>
    </w:p>
    <w:p>
      <w:pPr>
        <w:numPr>
          <w:ilvl w:val="0"/>
          <w:numId w:val="5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Institute naționale CD, institute ale Academiei Române și universități.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ceea ce priveşte Axa Prioritară 2 – TIC, partenerii implicaţi în pregătirea programului au fost:</w:t>
      </w:r>
    </w:p>
    <w:p>
      <w:pPr>
        <w:numPr>
          <w:ilvl w:val="0"/>
          <w:numId w:val="5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Ministerul Afacerilor Interne, Ministerul Afacerilor Externe, Ministerul Dezvoltării Regionale şi Administraţiei Publice, Ministerul Finanţelor Publice, Ministerul Justiţiei şi alte ministere de linie și agenții/autorități centrale care oferă/coordonează servicii publice – pentru intervenţia din cadrul programului dedicată serviciilor de e-guvernare</w:t>
      </w:r>
    </w:p>
    <w:p>
      <w:pPr>
        <w:numPr>
          <w:ilvl w:val="0"/>
          <w:numId w:val="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Ministerul Apărării Naționale, Ministerul Afacerilor Interne, Serviciul Român de Informaţii şi Serviciul de Telecomunicaţii Speciale - pentru acţiunea dedicată securităţii cibernetice a sistemelor TIC</w:t>
      </w:r>
    </w:p>
    <w:p>
      <w:pPr>
        <w:numPr>
          <w:ilvl w:val="0"/>
          <w:numId w:val="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Ministerul Educaţiei – pentru domeniul e-educație</w:t>
      </w:r>
    </w:p>
    <w:p>
      <w:pPr>
        <w:numPr>
          <w:ilvl w:val="0"/>
          <w:numId w:val="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Ministerul Muncii, Familiei și Protecției Sociale – pentru domeniul e-incluziune</w:t>
      </w:r>
    </w:p>
    <w:p>
      <w:pPr>
        <w:numPr>
          <w:ilvl w:val="0"/>
          <w:numId w:val="5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Ministerul Sănătăţii – pentru domeniul e-sănătate</w:t>
      </w:r>
    </w:p>
    <w:p>
      <w:pPr>
        <w:numPr>
          <w:ilvl w:val="0"/>
          <w:numId w:val="5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Ministerul Culturii – pentru domeniul e-cultură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Consultările cu alti parteneri relevanți (parteneri economici și sociali, organizații neguvernamentale) s-a realizat în cadrul partenerial stabilit pentru elaborarea Acordului de Parteneriat și prin dezbateri la nivel national.</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 asemenea, consultarea publică privind POC a implicat și colectarea, prin intermediul unor chestionare, a opiniilor stakeholderilor, organizații sau persoane, care, pe de o parte au primit prin email chestionarul (stakehlderi selecționați dintre beneficarii POS CCE 2007-2013, membrii în CIAP și în Comitetele consultative constituite pentru elaborarea Acordului de Parteneriat 2014-2020), iar pe de altă parte au putut descărca chestionarul de pe site-ul MFE www.fonduri-ue.ro. Comunicarea s-a realizat prin intermediul adresei unice de contact secretariat.ciap@fonduri-ue.ro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Au fost accesate peste 200 de chestionare și s-au primit propuneri, observatii din partea a peste 70 de stakeholder. Este important de menţionat că în baza chestionarelor de consultare publică au fost identificate prioritizări în ceea ce priveşte evenimentele de viaţă, pentru a fi transpuse ca servicii publice disponibile în mediul online prin Axa Prioritară 2 – TIC, din cadrul programului. Primele trei locuri au vizat obtinerea de surse de finantare, cum sa incepi o afacere și căutarea unei slujbe.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În general, acţiunile propuse pentru a fi finanţate au fost găsite ca fiind relevante pentru realizarea obiectivelor stabilite și au fost aduse contribuţii care să susţină justificarea acţiunilor din cadrul ambelor axe prioritare. Cele mai multe propuneri au vizat detalii care ar trebui să se regăsească în Ghidurile Solicitantului sau recomadări pentru asigurarea unei implementări eficiente și eficace a programului, mai simplificate ținând seama de lecțiile învățate în perioada 2007-2013. În scopul implicarii partenerilor relevanți pe parcursul procesului de implementare a programelor 2014-2020 va fi elaborate un „cod de conduită” care va prelua la nivel national </w:t>
      </w:r>
      <w:r>
        <w:rPr>
          <w:rFonts w:ascii="Times New Roman" w:eastAsia="Times New Roman" w:hAnsi="Times New Roman" w:cs="Times New Roman"/>
          <w:i/>
          <w:iCs/>
        </w:rPr>
        <w:t>Codul</w:t>
      </w:r>
      <w:r>
        <w:rPr>
          <w:rFonts w:ascii="Times New Roman" w:eastAsia="Times New Roman" w:hAnsi="Times New Roman" w:cs="Times New Roman"/>
        </w:rPr>
        <w:t xml:space="preserve"> </w:t>
      </w:r>
      <w:r>
        <w:rPr>
          <w:rFonts w:ascii="Times New Roman" w:eastAsia="Times New Roman" w:hAnsi="Times New Roman" w:cs="Times New Roman"/>
          <w:i/>
          <w:iCs/>
        </w:rPr>
        <w:t>european</w:t>
      </w:r>
      <w:r>
        <w:rPr>
          <w:rFonts w:ascii="Times New Roman" w:eastAsia="Times New Roman" w:hAnsi="Times New Roman" w:cs="Times New Roman"/>
        </w:rPr>
        <w:t xml:space="preserve"> </w:t>
      </w:r>
      <w:r>
        <w:rPr>
          <w:rFonts w:ascii="Times New Roman" w:eastAsia="Times New Roman" w:hAnsi="Times New Roman" w:cs="Times New Roman"/>
          <w:i/>
          <w:iCs/>
        </w:rPr>
        <w:t>de</w:t>
      </w:r>
      <w:r>
        <w:rPr>
          <w:rFonts w:ascii="Times New Roman" w:eastAsia="Times New Roman" w:hAnsi="Times New Roman" w:cs="Times New Roman"/>
        </w:rPr>
        <w:t xml:space="preserve"> </w:t>
      </w:r>
      <w:r>
        <w:rPr>
          <w:rFonts w:ascii="Times New Roman" w:eastAsia="Times New Roman" w:hAnsi="Times New Roman" w:cs="Times New Roman"/>
          <w:i/>
          <w:iCs/>
        </w:rPr>
        <w:t>conduită</w:t>
      </w:r>
      <w:r>
        <w:rPr>
          <w:rFonts w:ascii="Times New Roman" w:eastAsia="Times New Roman" w:hAnsi="Times New Roman" w:cs="Times New Roman"/>
        </w:rPr>
        <w:t xml:space="preserve"> </w:t>
      </w:r>
      <w:r>
        <w:rPr>
          <w:rFonts w:ascii="Times New Roman" w:eastAsia="Times New Roman" w:hAnsi="Times New Roman" w:cs="Times New Roman"/>
          <w:i/>
          <w:iCs/>
        </w:rPr>
        <w:t>privind</w:t>
      </w:r>
      <w:r>
        <w:rPr>
          <w:rFonts w:ascii="Times New Roman" w:eastAsia="Times New Roman" w:hAnsi="Times New Roman" w:cs="Times New Roman"/>
        </w:rPr>
        <w:t xml:space="preserve"> </w:t>
      </w:r>
      <w:r>
        <w:rPr>
          <w:rFonts w:ascii="Times New Roman" w:eastAsia="Times New Roman" w:hAnsi="Times New Roman" w:cs="Times New Roman"/>
          <w:i/>
          <w:iCs/>
        </w:rPr>
        <w:t>organizarea</w:t>
      </w:r>
      <w:r>
        <w:rPr>
          <w:rFonts w:ascii="Times New Roman" w:eastAsia="Times New Roman" w:hAnsi="Times New Roman" w:cs="Times New Roman"/>
        </w:rPr>
        <w:t xml:space="preserve"> </w:t>
      </w:r>
      <w:r>
        <w:rPr>
          <w:rFonts w:ascii="Times New Roman" w:eastAsia="Times New Roman" w:hAnsi="Times New Roman" w:cs="Times New Roman"/>
          <w:i/>
          <w:iCs/>
        </w:rPr>
        <w:t>parteneriatului</w:t>
      </w:r>
      <w:r>
        <w:rPr>
          <w:rFonts w:ascii="Times New Roman" w:eastAsia="Times New Roman" w:hAnsi="Times New Roman" w:cs="Times New Roman"/>
        </w:rPr>
        <w:t>, urmărind stabilirea unor proceduri transparente pentru identificarea partenerilor relevanți, informațiile ce trebuie oferite în diferite etape ale implementării, procedurile interne de consultare bazate bune practici privind consultarea la timp.</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cadrul Comitetului de monitorizare al POC partenerii vor fi implicati în evaluarea rezultatelor privind diferitele obiective specific ale programului și cererile de propuneri de proiecte, precum și în elaborarea rapoartele relevante privind programul. Totodată, autoritate de management va implica partenerii în definirea unor soluții de simplificare a sarcinilor administrative ale beneficiarilor, pornind de la opiniile și propunerile colecte o dată la doi ani, prin intermediul unor chestionare și interviuri.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scopul implicării partenerilor relevanți, pe parcursul procesului de implementare a programelor 2014-2020, va fi elaborat un „cod de conduită” care va prelua la nivel național principiile stabilite prin „Codul European de conduită privind organizarea parteneriatului” ( Reg. UE nr.240/2014) . Se va urmări stabilirea unor proceduri transparente pentru identificarea partenerilor relevanți, proceduri interne de consultare bazate pe bune practici, categoriile de informații  ce trebuie oferite în diferite etape ale implementării, etc. Pentru a putea deveni un instrument eficient, ghidul va fi elaborat în paralel cu operaționalizarea mecanismului de coordonare instituţional structurat pe trei nivele: (i) Comitetul de Coordonare pentru Managementul Acordului de Parteneriat (CCMAP), (ii) cinci sub-comitete tematice şi (iii) patru grupuri de lucru funcţionale sub responsabilitatea şi coordonarea MFE (conform Acordului de Parteneriat - cap. 2.1) și va fi finalizat la până la sfârșitul lunii mai 2015.</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noiembrie 2014 au fost demarate demersurile în vederea constituirii cadrului de coordonare a implementării Fondurilor Europene Structurale și de Investiții. Astfel, în vederea selectării membrilor Comitetului de Coordonare pentru Managementul Acordului de Parteneriat 2014-2020 (primul nivel de coordonare), Ministerul Fondurilor Europene a adresat invitația către reprezentanții societății civile la nivel național, regional sau local de a-și exprima interesul privind participarea la acest Comitet. Au fost primite peste 120 de expresii interes în selecția cărora s-a avut în vedere reprezentarea echilibrată a domeniilor relevante pentru implementarea FESI, precum și expertiza și experiența, organizațiile selectate urmând  să fie implicate activ și constructiv în coordonarea strategică. Totodată, ministerele de linie responsabile de politici publice în diferite domenii vizate spre finanțare prin FESI și-au desemnat reprezentanți în CCMAP, care cuprinde în total 60 de membrii dintre care 40% sunt reprezentanță ai societății civile.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La nivel de program,  partenerii sociali vor fi implicați prin intermediul Comitetului de Monitorizare al POC în toate fazele implementării, participând activ în evaluarea rezultatelor privind diferitele obiective specifice ale programului, în elaborarea rapoartelor relevante privind programul, precum și în definirea unor soluții de simplificare a sarcinilor administrative ale beneficiarilor, pornind de la opiniile și propunerile colectate o dată la doi ani, prin intermediul unor chestionare și interviuri.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Se are in vedere să se efectueze lunar intalniri/consultări de monitorizare cu membrii CM. La reuniunile bianuale ale CM sunt invitați în calitate de observatori, reprezentanții CE. In componenta CM POC, ponderea reprezentantilor mediului de afaceri si altor parteneri sociali va fi de 40%.</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Toți membrii CM vor beneficia de informarea în timp util asupra problematicii care vizează implementarea POC, având posibilitatea de a se implica in procesul de luare a deciziilor.</w:t>
      </w:r>
    </w:p>
    <w:p w:rsidR="008D5009" w:rsidRPr="001371B2" w:rsidP="008D5009">
      <w:pPr>
        <w:spacing w:before="0" w:after="0"/>
      </w:pPr>
    </w:p>
    <w:p w:rsidR="008D5009" w:rsidRPr="008F2E3F" w:rsidP="008D5009">
      <w:pPr>
        <w:pStyle w:val="Heading3"/>
        <w:numPr>
          <w:ilvl w:val="0"/>
          <w:numId w:val="0"/>
        </w:numPr>
        <w:spacing w:before="0" w:after="0"/>
        <w:rPr>
          <w:i w:val="0"/>
        </w:rPr>
      </w:pPr>
      <w:bookmarkStart w:id="235" w:name="_Toc256000114"/>
      <w:r w:rsidRPr="00D916B3">
        <w:rPr>
          <w:b/>
          <w:noProof/>
        </w:rPr>
        <w:t>7.2.2 Global grants</w:t>
      </w:r>
      <w:bookmarkStart w:id="236" w:name="_Toc512434600"/>
      <w:bookmarkStart w:id="237" w:name="_Toc25666876"/>
      <w:bookmarkStart w:id="238" w:name="_Toc27646483"/>
      <w:r>
        <w:rPr>
          <w:i w:val="0"/>
        </w:rPr>
        <w:t xml:space="preserve"> </w:t>
      </w:r>
      <w:r>
        <w:rPr>
          <w:i w:val="0"/>
          <w:noProof/>
        </w:rPr>
        <w:t>(for the ESF, where appropriate)</w:t>
      </w:r>
      <w:bookmarkEnd w:id="235"/>
      <w:bookmarkEnd w:id="236"/>
      <w:bookmarkEnd w:id="237"/>
      <w:bookmarkEnd w:id="238"/>
    </w:p>
    <w:p w:rsidR="008D5009" w:rsidRPr="0079101B" w:rsidP="008D5009">
      <w:pPr>
        <w:pStyle w:val="Heading3"/>
        <w:numPr>
          <w:ilvl w:val="0"/>
          <w:numId w:val="0"/>
        </w:numPr>
        <w:spacing w:before="0" w:after="0"/>
        <w:rPr>
          <w:i w:val="0"/>
        </w:rPr>
      </w:pPr>
      <w:bookmarkStart w:id="239" w:name="_Toc256000115"/>
      <w:r w:rsidRPr="0079101B">
        <w:rPr>
          <w:b/>
          <w:noProof/>
        </w:rPr>
        <w:t>7.2.3 Allocation of an amount for capacity building</w:t>
      </w:r>
      <w:bookmarkStart w:id="240" w:name="_Toc512434601"/>
      <w:bookmarkStart w:id="241" w:name="_Toc25666877"/>
      <w:bookmarkStart w:id="242" w:name="_Toc27646484"/>
      <w:r w:rsidRPr="0079101B">
        <w:rPr>
          <w:i w:val="0"/>
        </w:rPr>
        <w:t xml:space="preserve"> </w:t>
      </w:r>
      <w:r w:rsidRPr="0079101B">
        <w:rPr>
          <w:i w:val="0"/>
          <w:noProof/>
        </w:rPr>
        <w:t>(for the ESF, where appropriate)</w:t>
      </w:r>
      <w:bookmarkEnd w:id="239"/>
      <w:bookmarkEnd w:id="240"/>
      <w:bookmarkEnd w:id="241"/>
      <w:bookmarkEnd w:id="242"/>
    </w:p>
    <w:p w:rsidR="008D5009" w:rsidP="008D5009">
      <w:pPr>
        <w:pStyle w:val="Heading1"/>
        <w:numPr>
          <w:ilvl w:val="0"/>
          <w:numId w:val="15"/>
        </w:numPr>
        <w:tabs>
          <w:tab w:val="num" w:pos="850"/>
          <w:tab w:val="clear" w:pos="992"/>
        </w:tabs>
        <w:spacing w:before="0" w:after="0"/>
        <w:ind w:left="850"/>
        <w:jc w:val="left"/>
        <w:sectPr w:rsidSect="00426349">
          <w:pgSz w:w="11906" w:h="16838"/>
          <w:pgMar w:top="1022" w:right="1699" w:bottom="1022" w:left="1584" w:header="283" w:footer="283" w:gutter="0"/>
          <w:cols w:space="708"/>
          <w:docGrid w:linePitch="360"/>
        </w:sectPr>
      </w:pPr>
    </w:p>
    <w:p w:rsidR="008D5009" w:rsidP="008D5009">
      <w:pPr>
        <w:pStyle w:val="Heading1"/>
        <w:numPr>
          <w:ilvl w:val="0"/>
          <w:numId w:val="0"/>
        </w:numPr>
        <w:spacing w:before="0" w:after="0"/>
      </w:pPr>
      <w:bookmarkStart w:id="243" w:name="_Toc256000116"/>
      <w:r>
        <w:rPr>
          <w:noProof/>
        </w:rPr>
        <w:t>8. COORDINATION BETWEEN THE FUNDS, THE EAFRD, THE EMFF AND OTHER UNION AND NATIONAL FUNDING INSTRUMENTS, AND WITH THE EIB</w:t>
      </w:r>
      <w:bookmarkEnd w:id="243"/>
    </w:p>
    <w:p w:rsidR="008D5009" w:rsidRPr="00264139" w:rsidP="008D5009">
      <w:pPr>
        <w:spacing w:before="0" w:after="0"/>
      </w:pPr>
      <w:r>
        <w:rPr>
          <w:noProof/>
        </w:rPr>
        <w:t>The mechanisms to ensure coordination between the Funds, the European Agricultural Fund for Rural Development (EAFRD), the European Maritime and Fisheries Fund (EMFF) and other Union and national funding instruments, and with the European Investment Bank (EIB), taking into account the relevant provisions laid down in the Common Strategic Framework.</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Mecanismul de coordonare structurat pe trei niveluri (strategic, interinstituțional tematic, operațional), stabilit la nivelul APt (cap. 2.1), va asigura coerența intervențiilor, urmărind complementaritățile și sinergiile reliefate în fazele de programare.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La nivel instituţional, acesta se materializează prin: (i) Comitetul de Coordonare pentru Managementul AP (CCMAP), (ii) cinci sub-comitete tematice şi (iii) patru grupuri de lucru funcţionale sub responsabilitatea şi coordonarea MFE. Rolul acestui mecanism este de a asigura coordonarea strategică şi complementaritatea intervențiilor pe parcursul implementării programelor finanţate din FESI, urmărind  în acelaşi timp, coerenţa, sinergiile şi demarcarea cu alte programe/ instrumente naţionale şi europene. În acest sens, coordonarea intervenţiilor prin intermediul mecanismului menţionat, va viza atât programele finanţate din FESI, cât şi celelalte programe ale UE, respectiv ORIZONT 2020; Employment and Social Innovation (EaSI) programme; FSUE; LIFE+, Internal Security Fund,etc.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La nivel operațional, în cadrul </w:t>
      </w:r>
      <w:r>
        <w:rPr>
          <w:rFonts w:ascii="Times New Roman" w:eastAsia="Times New Roman" w:hAnsi="Times New Roman" w:cs="Times New Roman"/>
          <w:b/>
          <w:bCs/>
        </w:rPr>
        <w:t>Grupului de Lucru Funcțional pentru abordări noi</w:t>
      </w:r>
      <w:r>
        <w:rPr>
          <w:rFonts w:ascii="Times New Roman" w:eastAsia="Times New Roman" w:hAnsi="Times New Roman" w:cs="Times New Roman"/>
        </w:rPr>
        <w:t xml:space="preserve"> se vor constitui colective formate din reprezentanți ai autorităților de management, organismelor intermediare, inclusiv ai organismului unic pentru FSE, și, după caz, ai Punctului Național de Contact pentru Romi, ministerelor responsabile de politicile publice relevante, ADR-urilor.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Pentru ariile care necesită o abordare integrată a intervențiilor vor fi stabilite principiile de implementare cele mai adecvate (coordonarea lansării apelurilor de proiecte, punctaje suplimentare, criterii de selecție care să garanteze abordarea integrată a finanțării, selecție comună). Aceste principii vor fi formalizate în cadrul unor protocoale asumate de autoritățile de management implicate. Identificarea acțiunilor care necesită o abordare integrată și semnarea protocoalelor de colaborare vor fi coordonate de MFE.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 categorie importantă de proiecte integrate o reprezintă proiectele de anvergură națională/strategice care implică finanțări din cadrul mai multor programe (în special POCU, POCA, POR și POC). Pentru aceste proiecte implementarea este asumată la nivelul instituțiilor publice centrale, singure sau în parteneriat cu alte instituții relevante. Pentru acest tip de proiecte, protocoalele asumate de autoritățile de management implicate vor cuprinde prevederi referitoare la modul de selecție a acestor proiecte, inclusiv stabilirea criteriilor de selecție.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Pentru proiectele integrate care nu au anvengură națională și care nu fac parte dintr-o strategie teritorială integrată LEADER se are în vedere posibilitatea ca autoritățile de management ale programelor operaționale vizate să poată face o analiză preliminară a modului în care intervențiile propuse susțin obiectivele specifice ale programelor și, prin abordarea integrată, consolidează impactul social/economic al investiției FESI. Arhitectura sistemului MySMIS va permite autorităților de management potențial implicate în finanțarea unui proiect integrat, să realizeze pe perioada selecției, o analiză preliminară a acestor proiecte nu numai din punct de vedere al eligibilității ci și al justificării solide a opțiunii de finanțare din mai multe surse. Această analiză va fi utilă și din punctul de vedere a aplicării/monitorizării regulilor de ajutor de stat, în cazul potențialilor beneficiari privați.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Un element de sprijin pentru mecanismul de coordonare il va constitui operaționalizarea Ghiseului Unic (vezi sectiunea 10) prin utilizarea Rețelei de informare/punctele de informare gestionate de MFE (câte unul la nivelul fiecărui județ). Se va realiza o analiză teritorială a furnizorilor de servicii pentru IMM-uri și se va stabili aria de activitate a punctelor teritoriale, în vederea distribuției echilibrate a serviciilor de informare și consiliere, precum și furnizarii acestor servicii în mod concentrat, eficient și eficace. In acest sens, MFE va stabili împreuna cu Departamentul pentru IMM-uri, MDRAP și MADR, dar și în consultare cu alte entitați care oferă informații/servicii IMM-urilor în profil teritorial (ex. Camere de Comerț și Industrie), cadrul general al schimbului de informații și bune practici (ritmicitatea transmiterii și nivelul informațiilor, întrebari frecvente, etc.), astfel încât consilierea să fie utilă pentru orice întreprinzator, indiferent de sursa de finanțare a inițiativei sale antreprenoriale și de autoritațile care o gestionează (Oficiile Teritoriale pentru IMM-uri, ADR-uri, AM-uri, Oficiile Județene și Centrele Regionale pentru Finanțarea Investițiilor Rurale pentru PNDR, etc.).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Pe termen mediu si lung, este analizată posibilitatea ca aceste ghișee unice sa funcționeze la nivelul ADR, având în vedere experiența acestora în lucrul cu mediul de afaceri. Aceasta nu se poate realiza însă fără asigurarea unei abordări unitare între tipurile de servicii și informații furnizate la nivelul fiecarei regiuni, respectiv preluarea procedurilor si bunelor practici dovedite viabile in activitatea ghișeului unic de din cadrul Rețelei de informare. Identificarea surselor de finanțare (POAT, POCA, alte surse) reprezinta de asemenea o condiție sine-qua-non.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cadrul AP1 se distinge coordonarea între diferite instrumente financiare ale UE. De exemplu, în cadrul OS1.2 privind Creșterea participării cercetării românești în cercetarea la nivel UE, complementar programului cadru Orizont 2020, este finantata atragerea de talente și competențe avansate în sistemul național CDI. Complementar cu finanțările din POC, POR se adresează nevoilor de inovare din piaţă (cererea de CDI), prin faptul că sprijină intermedierea cererii cu oferta de inovare în vederea modelării produsului cercetării în funcţie de nevoile firmelor.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cadrul AP2 a fost stabilită PI 2.3 privind consolidarea aplicațiilor TIC pentru e-guvernare, e-învățare, e-cultură și e-sănătate în complementaritate cu măsuri finanțate prin alte programe operaționale (POCA, POCU, PNDR). Astfel, acțiunile de susținere și dezvoltare a administrației publice, finanțate prin FEDR și prevăzute în OT2, se vor complementa cu măsurile prevăzute în OT11.</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Măsurile complementare necesare asigurării cadrului instituțional și capacității administrative a MSI și a celorlalte ministere/autorități/agenții implicate vor fi susținute prin intermediul POCA. Măsurile complementare necesare asigurării implementării integrate în domeniul e-educației și e-incluziunii vor fi susținute prin intermediul POCU, MSI având calitatea de beneficiar, în parteneriat cu MEN și, respectiv, cu MMFPSPV. Măsurile complementare necesare asigurării cadrului instituțional pentru e-sănătate și e-cultură, precum și a capacității administrative a MS și, respectiv, a MC vor fi susținute prin intermediul POCA.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plus, consolidarea aplicațiilor TIC pentru e-guvernare vor fi în sinergie cu măsurile finanțate prin FSE, în cadrul OT11, privind dezvoltarea și implementarea unor sisteme și proceduri de coordonare și monitorizare a strategiilor și politicilor publice, dezvoltarea și implementarea de mecanisme pentru consulare și participare publică în procesul de reglementare, dezvoltarea și implementarea unor sisteme și instrumente moderne ce vor crește performanța în instituțiile publice, îmbunătățirea competențelor angajaților din instituții și autorități publice, dezvoltarea unui sistem de gestiune a resurselor umane integrat, creșterea gradului de satisfacție a cetățenilor și companiilor privind calitatea serviciilor publice și întărirea capacității organizaționale și administrative.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cadrul PI2.2 - Dezvoltarea produselor și serviciilor TIC, a comerțului electronic și a cererii de TIC intervențiile prin FEDR vor fi complementare cu măsurile destinate investițiilor in structuri de sprijin ale afacerilor finanțate prin POR.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cadrul PI2.1 - Extinderea conexiunii în bandă largă și difuzarea rețelelor de mare viteză, precum și sprijinirea adoptării tehnologiilor emergente și a rețelelor pentru economia digitală, prin FEDR vor fi complementare cu măsurile destinate extinderii rețelei de tip NGN, finanțate prin FEADR. Investițiile destinate dezvoltării la nivel național a rețelelor de generașie viitoare vor fi finanțate complementar prin FEADR în cadrul LEADER, prin demarcarea teritorială a investiţiilor. Prin LEADER se acoperă zonele aferente unităților administrativ-teritoriale-comune și unități administrativ-teritoriale- orașe mici cu o populație de maxim 20.000 locuitori. În acest caz, finanțarea infrastructurii de internet în bandă largă (rețea de distribuție și acces) va fi bazată pe harta zonelor eligibile pentru acest tip de investiții („zone albe”) din punct de vedere al existenței infrastructurii de internet în bandă largă, hartă ce va fi elaborată de autoritățile abilitate. Va exista un protocol de colaborare între MADR şi MSI care va permite schimbul de informaţii referitoare la stadiul intervenţiilor şi va asigura evitarea suprapunerilor de finanțare.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Sprijinul prin POCA/POCU va viza următoarele aspecte:</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E-guvernare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Pentru pregătirea proiectului de e-guvernare, se va desfășura un studiu pentru identificarea bazelor de date existente la nivelul administrației publice, inclusiv informații privind nivelul de sofisticare al acestora, a registrelor de date implicate în cele 36 EV şi a proprietarilor corespunzători ai registrelor precum şi marcarea relațiilor şi dependențelor dintre fluxurile informaționale conexe.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Acest studiu, prin care MSI asigură pregătirea cadrului orizontal de dezvoltare al e-guvernării (capacitate administrativă/legislativă, standarde comune, interoperabilitate, promovare acces deschis al cetățenilor și întreprinderilor la serviciile electronice dezvoltate) va primi sprijin în cadrul POCA.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Tot în cadrul POCA vor fi susținute, pentru instituțiile implicate în cele 36 EV, reformele instituționale necesare, incluzând asistență, formare și alte măsuri de creștere a capacității administrative.</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Cloud Computing</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Complementar prin POCA se va urmări:</w:t>
      </w:r>
    </w:p>
    <w:p>
      <w:pPr>
        <w:numPr>
          <w:ilvl w:val="0"/>
          <w:numId w:val="5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Evaluarea și dezvoltarea capacității de administrare a Cloud-ului guvernamental;</w:t>
      </w:r>
    </w:p>
    <w:p>
      <w:pPr>
        <w:numPr>
          <w:ilvl w:val="0"/>
          <w:numId w:val="5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Definirea cadrului de comunicare prin media sociale la nivel guvernamental;</w:t>
      </w:r>
    </w:p>
    <w:p>
      <w:pPr>
        <w:numPr>
          <w:ilvl w:val="0"/>
          <w:numId w:val="5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Dezvoltare model PCU – Punct de Contact Unic în activitatea cu cetățeanul;</w:t>
      </w:r>
    </w:p>
    <w:p>
      <w:pPr>
        <w:numPr>
          <w:ilvl w:val="0"/>
          <w:numId w:val="5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Aplicarea modelului de magazin virtual central de resurse IT pentru organizarea sectorului public</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Open data și Big data</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strânsă complementaritate, în cadrul POCA vor fi avute în vedere următoarele intervenții: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Open data:</w:t>
      </w:r>
    </w:p>
    <w:p>
      <w:pPr>
        <w:numPr>
          <w:ilvl w:val="0"/>
          <w:numId w:val="5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Îmbunătățirea cadrului legislativ privind accesul liber la informații;</w:t>
      </w:r>
    </w:p>
    <w:p>
      <w:pPr>
        <w:numPr>
          <w:ilvl w:val="0"/>
          <w:numId w:val="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Dezvoltarea și implementarea standardelor relevante pentru prezentarea de date;</w:t>
      </w:r>
    </w:p>
    <w:p>
      <w:pPr>
        <w:numPr>
          <w:ilvl w:val="0"/>
          <w:numId w:val="5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Dezvoltarea de parteneriate cu societatea civilă și mediul de afaceri și creșterea capacității acestora de a utiliza și integra informațiile generate de datele deschise;</w:t>
      </w:r>
    </w:p>
    <w:p>
      <w:pPr>
        <w:numPr>
          <w:ilvl w:val="0"/>
          <w:numId w:val="5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Încurajarea unei atitudini pozitive ai administrației publice legate de datele deschise.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Big data</w:t>
      </w:r>
    </w:p>
    <w:p>
      <w:pPr>
        <w:numPr>
          <w:ilvl w:val="0"/>
          <w:numId w:val="58"/>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Definirea de seturi de date din mai multe surse (mediu fizic - hârtie, mediu digital, Internet, media sociale etc.)</w:t>
      </w:r>
    </w:p>
    <w:p>
      <w:pPr>
        <w:numPr>
          <w:ilvl w:val="0"/>
          <w:numId w:val="58"/>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Implementarea procesului de analiză pentru seturile de date colectate</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Securitate cibernetică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Prin urmare, implementarea va fi făcută integrat prin asigurarea unei strânse complementarități cu POCA, care va susține stabilirea și dezvoltarea cadrului conceptual și organizațional necesar pentru securitatea cibernetică, promovarea și consolidarea culturii de securitate, precum și dezvoltarea cooperării internaționale în domeniul securității cibernetice.</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Educație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complementaritate, din cadrul Programului POCU, Axa prioritară 6, vor fi susținute intervențiile tip FSE ce vor presupune:</w:t>
      </w:r>
    </w:p>
    <w:p>
      <w:pPr>
        <w:numPr>
          <w:ilvl w:val="0"/>
          <w:numId w:val="59"/>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Dezvoltarea competenţelor digitale ale elevilor, studenților și profesorilor;</w:t>
      </w:r>
    </w:p>
    <w:p>
      <w:pPr>
        <w:numPr>
          <w:ilvl w:val="0"/>
          <w:numId w:val="59"/>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Utilizarea TIC (OER și Web 2.0), în procesul de învățare și în procesul de Life Long Learning – LLL.</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Sănătate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Complementar, în cadrul POCA se vor susține intervențiile vizând capacitatea instituțională a MS de a implementa reformele vizate în domeniul e-sănătate, în concordanță cu strategia națională în domeniu. Complementar, în cadrul POCU, vor fi susținute acțiuni care vizează formarea profesională a personalului care va utiliza sistemul informatic al sănătății și telemedicinii.</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Cultură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Intervențiile prin POC, prin care se vor finanţa intervenţiile sistemice privind digitizarea patrimoniului cultural, vor fi complementare cu cele prin POR, ce vizează investițiile în infrastructura culturală și promovarea turismului cultural. Prioritare vor fi mai ales acele intervenții ce pot conduce la dezvoltarea afacerilor locale pe bază de produse/servicii culturale digitale.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Tot în complementaritate, în cadrul POCA, se vor susține intervențiile vizând capacitatea instituțională a Ministerului Culturii de a implementa reformele vizate în domeniul e-cultură, în concordanță cu strategia națională în domeniu.</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Inovare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Intervențiile vor fi complementare cu cele ce se vor realiza prin POR, ce vizează investițiile în structuri de sprijin ale afacerilor. Linia de demarcație va fi dată de eligibilitatea exclusive in POC a proiectelor strategice de relevanță națională/internațională ale clusterelor din domeniul TIC.</w:t>
      </w:r>
    </w:p>
    <w:p>
      <w:pPr>
        <w:spacing w:before="240" w:after="240"/>
        <w:jc w:val="left"/>
        <w:rPr>
          <w:rFonts w:ascii="Times New Roman" w:eastAsia="Times New Roman" w:hAnsi="Times New Roman" w:cs="Times New Roman"/>
        </w:rPr>
      </w:pPr>
      <w:r>
        <w:rPr>
          <w:rFonts w:ascii="Times New Roman" w:eastAsia="Times New Roman" w:hAnsi="Times New Roman" w:cs="Times New Roman"/>
          <w:i/>
          <w:iCs/>
        </w:rPr>
        <w:t>Infrastructură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Complementar, prin POCA, MSI urmărește dezvoltarea cadrului legislativ și instituțional optim pentru încurajarea dezvoltării NGN/NGA, în special în ceea ce privește crearea unor condiții mai favorabile pentru investițiile mediului privat.</w:t>
      </w:r>
    </w:p>
    <w:p w:rsidR="008D5009" w:rsidRPr="00DC028E" w:rsidP="008D5009">
      <w:pPr>
        <w:spacing w:before="0" w:after="0"/>
        <w:rPr>
          <w:noProof/>
        </w:rPr>
      </w:pPr>
    </w:p>
    <w:p w:rsidR="008D5009" w:rsidRPr="00BE7FCE" w:rsidP="008D5009">
      <w:pPr>
        <w:pStyle w:val="Heading1"/>
        <w:numPr>
          <w:ilvl w:val="0"/>
          <w:numId w:val="15"/>
        </w:numPr>
        <w:tabs>
          <w:tab w:val="num" w:pos="850"/>
          <w:tab w:val="clear" w:pos="992"/>
        </w:tabs>
        <w:spacing w:before="0" w:after="0"/>
        <w:ind w:left="850"/>
        <w:jc w:val="left"/>
        <w:sectPr w:rsidSect="00426349">
          <w:pgSz w:w="11906" w:h="16838"/>
          <w:pgMar w:top="1022" w:right="1699" w:bottom="1022" w:left="1584" w:header="283" w:footer="283" w:gutter="0"/>
          <w:cols w:space="708"/>
          <w:docGrid w:linePitch="360"/>
        </w:sectPr>
      </w:pPr>
    </w:p>
    <w:p w:rsidR="008D5009" w:rsidRPr="00BE7FCE" w:rsidP="008D5009">
      <w:pPr>
        <w:pStyle w:val="Heading1"/>
        <w:numPr>
          <w:ilvl w:val="0"/>
          <w:numId w:val="0"/>
        </w:numPr>
        <w:spacing w:before="0" w:after="0"/>
      </w:pPr>
      <w:bookmarkStart w:id="244" w:name="_Toc256000117"/>
      <w:r w:rsidRPr="00BE7FCE">
        <w:rPr>
          <w:noProof/>
        </w:rPr>
        <w:t>9. EX-ANTE CONDITIONALITIES</w:t>
      </w:r>
      <w:bookmarkEnd w:id="244"/>
    </w:p>
    <w:p w:rsidR="008D5009" w:rsidRPr="00BE7FCE" w:rsidP="008D5009">
      <w:pPr>
        <w:pStyle w:val="Text1"/>
        <w:spacing w:before="0" w:after="0"/>
        <w:ind w:left="0"/>
      </w:pPr>
    </w:p>
    <w:p w:rsidR="008D5009" w:rsidRPr="00F77728" w:rsidP="008D5009">
      <w:pPr>
        <w:pStyle w:val="Heading2"/>
        <w:numPr>
          <w:ilvl w:val="0"/>
          <w:numId w:val="0"/>
        </w:numPr>
        <w:spacing w:before="0" w:after="0"/>
      </w:pPr>
      <w:bookmarkStart w:id="245" w:name="_Toc256000118"/>
      <w:r w:rsidRPr="00BE7FCE">
        <w:rPr>
          <w:noProof/>
        </w:rPr>
        <w:t>9.1 Ex-ante conditionalities</w:t>
      </w:r>
      <w:bookmarkEnd w:id="245"/>
    </w:p>
    <w:p w:rsidR="008D5009" w:rsidRPr="004B2ED1" w:rsidP="008D5009">
      <w:pPr>
        <w:spacing w:before="0" w:after="0"/>
      </w:pPr>
      <w:r>
        <w:rPr>
          <w:noProof/>
        </w:rPr>
        <w:t>Information on the assessment of the applicability and the fulfilment of ex-ante conditionalities (optional).</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La nivelul POC, sunt aplicabile condiționalități ex-ante specifice TO 1.1, TO 1.2, TO 2.1 si TO 2.2 și condiționalitățile ex-ante orizontale G 4, G 5 și G 7. În ceea ce privește condiționalitatea generală G4 referitoare la achizițiile publice, un plan de acțiune detaliat este prezentat în Anexa ”</w:t>
      </w:r>
      <w:r>
        <w:rPr>
          <w:rFonts w:ascii="Times New Roman" w:eastAsia="Times New Roman" w:hAnsi="Times New Roman" w:cs="Times New Roman"/>
          <w:i/>
          <w:iCs/>
        </w:rPr>
        <w:t>Detailed action plan concerning public procurement ex-ante conditionality (G4)</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rsidR="008D5009" w:rsidRPr="0042051F" w:rsidP="008D5009">
      <w:pPr>
        <w:spacing w:before="0" w:after="0"/>
      </w:pPr>
    </w:p>
    <w:p w:rsidR="008D5009" w:rsidRPr="0042051F" w:rsidP="008D5009">
      <w:pPr>
        <w:pStyle w:val="Heading2"/>
        <w:numPr>
          <w:ilvl w:val="0"/>
          <w:numId w:val="0"/>
        </w:numPr>
        <w:spacing w:before="0" w:after="0"/>
      </w:pPr>
      <w:bookmarkStart w:id="246" w:name="_Toc256000119"/>
      <w:r w:rsidRPr="0042051F">
        <w:rPr>
          <w:noProof/>
        </w:rPr>
        <w:t>Table 24: Applicable ex-ante conditionalities and assessment of their fulfilment</w:t>
      </w:r>
      <w:bookmarkEnd w:id="246"/>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4"/>
        <w:gridCol w:w="1669"/>
        <w:gridCol w:w="178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blHeader/>
        </w:trPr>
        <w:tc>
          <w:tcPr>
            <w:shd w:val="clear" w:color="auto" w:fill="auto"/>
          </w:tcPr>
          <w:p w:rsidR="008D5009" w:rsidRPr="00B43DD0" w:rsidP="00426349">
            <w:pPr>
              <w:spacing w:before="0" w:after="0"/>
              <w:jc w:val="center"/>
              <w:rPr>
                <w:b/>
                <w:sz w:val="20"/>
              </w:rPr>
            </w:pPr>
            <w:r w:rsidRPr="00B43DD0">
              <w:rPr>
                <w:b/>
                <w:noProof/>
                <w:sz w:val="20"/>
              </w:rPr>
              <w:t>Ex-ante conditionality</w:t>
            </w:r>
          </w:p>
        </w:tc>
        <w:tc>
          <w:tcPr>
            <w:shd w:val="clear" w:color="auto" w:fill="auto"/>
          </w:tcPr>
          <w:p w:rsidR="008D5009" w:rsidRPr="00B43DD0" w:rsidP="00426349">
            <w:pPr>
              <w:spacing w:before="0" w:after="0"/>
              <w:jc w:val="center"/>
              <w:rPr>
                <w:b/>
                <w:sz w:val="20"/>
              </w:rPr>
            </w:pPr>
            <w:r w:rsidRPr="00B43DD0">
              <w:rPr>
                <w:b/>
                <w:noProof/>
                <w:sz w:val="20"/>
              </w:rPr>
              <w:t>Priority axes to which conditionality applies</w:t>
            </w:r>
          </w:p>
        </w:tc>
        <w:tc>
          <w:tcPr/>
          <w:p w:rsidR="008D5009" w:rsidRPr="00B43DD0" w:rsidP="00426349">
            <w:pPr>
              <w:spacing w:before="0" w:after="0"/>
              <w:jc w:val="center"/>
              <w:rPr>
                <w:b/>
                <w:sz w:val="20"/>
              </w:rPr>
            </w:pPr>
            <w:r w:rsidRPr="00B43DD0">
              <w:rPr>
                <w:b/>
                <w:noProof/>
                <w:sz w:val="20"/>
              </w:rPr>
              <w:t>Ex-ante conditionality fulfilled (Yes/No/Partially)</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01.1</w:t>
            </w:r>
            <w:r>
              <w:rPr>
                <w:sz w:val="20"/>
                <w:szCs w:val="20"/>
              </w:rPr>
              <w:t xml:space="preserve"> -</w:t>
            </w:r>
            <w:r w:rsidRPr="00E9348A">
              <w:rPr>
                <w:sz w:val="20"/>
                <w:szCs w:val="20"/>
              </w:rPr>
              <w:t xml:space="preserve"> </w:t>
            </w:r>
            <w:r>
              <w:rPr>
                <w:sz w:val="20"/>
                <w:szCs w:val="20"/>
              </w:rPr>
              <w:t xml:space="preserve"> </w:t>
            </w:r>
            <w:r>
              <w:rPr>
                <w:noProof/>
                <w:sz w:val="20"/>
                <w:szCs w:val="20"/>
              </w:rPr>
              <w:t>Research and innovation: The existence of a national or regional smart specialisation strategy in line with the National Reform Program, to leverage private research and innovation expenditure, which complies with the features of well performing national or regional R&amp;I systems.</w:t>
            </w:r>
          </w:p>
        </w:tc>
        <w:tc>
          <w:tcPr>
            <w:shd w:val="clear" w:color="auto" w:fill="auto"/>
          </w:tcPr>
          <w:p w:rsidR="008D5009" w:rsidRPr="008A26EF" w:rsidP="00426349">
            <w:pPr>
              <w:spacing w:before="0" w:after="0"/>
              <w:rPr>
                <w:sz w:val="20"/>
                <w:szCs w:val="20"/>
              </w:rPr>
            </w:pPr>
            <w:r>
              <w:rPr>
                <w:noProof/>
                <w:sz w:val="20"/>
                <w:szCs w:val="20"/>
              </w:rPr>
              <w:t>AP1</w:t>
            </w:r>
            <w:r>
              <w:rPr>
                <w:sz w:val="20"/>
                <w:szCs w:val="20"/>
              </w:rPr>
              <w:t xml:space="preserve"> - </w:t>
            </w:r>
            <w:r>
              <w:rPr>
                <w:noProof/>
                <w:sz w:val="20"/>
                <w:szCs w:val="20"/>
              </w:rPr>
              <w:t>Cercetare, dezvoltare tehnologica si inovare (CDI) in sprijinul competitivitatii economice si dezvoltarii afacerilor</w:t>
            </w:r>
          </w:p>
        </w:tc>
        <w:tc>
          <w:tcPr/>
          <w:p w:rsidR="008D5009" w:rsidRPr="00E9348A" w:rsidP="00426349">
            <w:pPr>
              <w:spacing w:before="0" w:after="0"/>
              <w:rPr>
                <w:sz w:val="20"/>
                <w:szCs w:val="20"/>
              </w:rPr>
            </w:pPr>
            <w:r>
              <w:rPr>
                <w:noProof/>
                <w:sz w:val="20"/>
                <w:szCs w:val="20"/>
              </w:rPr>
              <w:t>Partially</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01.2</w:t>
            </w:r>
            <w:r>
              <w:rPr>
                <w:sz w:val="20"/>
                <w:szCs w:val="20"/>
              </w:rPr>
              <w:t xml:space="preserve"> -</w:t>
            </w:r>
            <w:r w:rsidRPr="00E9348A">
              <w:rPr>
                <w:sz w:val="20"/>
                <w:szCs w:val="20"/>
              </w:rPr>
              <w:t xml:space="preserve"> </w:t>
            </w:r>
            <w:r>
              <w:rPr>
                <w:sz w:val="20"/>
                <w:szCs w:val="20"/>
              </w:rPr>
              <w:t xml:space="preserve"> </w:t>
            </w:r>
            <w:r>
              <w:rPr>
                <w:noProof/>
                <w:sz w:val="20"/>
                <w:szCs w:val="20"/>
              </w:rPr>
              <w:t>Research and Innovation infrastructure. The existence of a multi annual plan for budgeting and prioritisation of investments.</w:t>
            </w:r>
          </w:p>
        </w:tc>
        <w:tc>
          <w:tcPr>
            <w:shd w:val="clear" w:color="auto" w:fill="auto"/>
          </w:tcPr>
          <w:p w:rsidR="008D5009" w:rsidRPr="008A26EF" w:rsidP="00426349">
            <w:pPr>
              <w:spacing w:before="0" w:after="0"/>
              <w:rPr>
                <w:sz w:val="20"/>
                <w:szCs w:val="20"/>
              </w:rPr>
            </w:pPr>
            <w:r>
              <w:rPr>
                <w:noProof/>
                <w:sz w:val="20"/>
                <w:szCs w:val="20"/>
              </w:rPr>
              <w:t>AP1</w:t>
            </w:r>
            <w:r>
              <w:rPr>
                <w:sz w:val="20"/>
                <w:szCs w:val="20"/>
              </w:rPr>
              <w:t xml:space="preserve"> - </w:t>
            </w:r>
            <w:r>
              <w:rPr>
                <w:noProof/>
                <w:sz w:val="20"/>
                <w:szCs w:val="20"/>
              </w:rPr>
              <w:t>Cercetare, dezvoltare tehnologica si inovare (CDI) in sprijinul competitivitatii economice si dezvoltarii afacerilor</w:t>
            </w:r>
          </w:p>
        </w:tc>
        <w:tc>
          <w:tcPr/>
          <w:p w:rsidR="008D5009" w:rsidRPr="00E9348A" w:rsidP="00426349">
            <w:pPr>
              <w:spacing w:before="0" w:after="0"/>
              <w:rPr>
                <w:sz w:val="20"/>
                <w:szCs w:val="20"/>
              </w:rPr>
            </w:pPr>
            <w:r>
              <w:rPr>
                <w:noProof/>
                <w:sz w:val="20"/>
                <w:szCs w:val="20"/>
              </w:rPr>
              <w:t>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02.1</w:t>
            </w:r>
            <w:r>
              <w:rPr>
                <w:sz w:val="20"/>
                <w:szCs w:val="20"/>
              </w:rPr>
              <w:t xml:space="preserve"> -</w:t>
            </w:r>
            <w:r w:rsidRPr="00E9348A">
              <w:rPr>
                <w:sz w:val="20"/>
                <w:szCs w:val="20"/>
              </w:rPr>
              <w:t xml:space="preserve"> </w:t>
            </w:r>
            <w:r>
              <w:rPr>
                <w:sz w:val="20"/>
                <w:szCs w:val="20"/>
              </w:rPr>
              <w:t xml:space="preserve"> </w:t>
            </w:r>
            <w:r>
              <w:rPr>
                <w:noProof/>
                <w:sz w:val="20"/>
                <w:szCs w:val="20"/>
              </w:rPr>
              <w:t>Digital growth: A strategic policy framework for digital growth to stimulate affordable, good quality and interoperable ICT enabled private and public services and increase uptake by citizens, including vulnerable groups, businesses and public administrations including cross border initiatives.</w:t>
            </w:r>
          </w:p>
        </w:tc>
        <w:tc>
          <w:tcPr>
            <w:shd w:val="clear" w:color="auto" w:fill="auto"/>
          </w:tcPr>
          <w:p w:rsidR="008D5009" w:rsidRPr="008A26EF" w:rsidP="00426349">
            <w:pPr>
              <w:spacing w:before="0" w:after="0"/>
              <w:rPr>
                <w:sz w:val="20"/>
                <w:szCs w:val="20"/>
              </w:rPr>
            </w:pPr>
            <w:r>
              <w:rPr>
                <w:noProof/>
                <w:sz w:val="20"/>
                <w:szCs w:val="20"/>
              </w:rPr>
              <w:t>AP2</w:t>
            </w:r>
            <w:r>
              <w:rPr>
                <w:sz w:val="20"/>
                <w:szCs w:val="20"/>
              </w:rPr>
              <w:t xml:space="preserve"> - </w:t>
            </w:r>
            <w:r>
              <w:rPr>
                <w:noProof/>
                <w:sz w:val="20"/>
                <w:szCs w:val="20"/>
              </w:rPr>
              <w:t>Tehnologia informatiei si comunicatiilor (TIC) pentru o economie digitala competitiva</w:t>
            </w:r>
          </w:p>
        </w:tc>
        <w:tc>
          <w:tcPr/>
          <w:p w:rsidR="008D5009" w:rsidRPr="00E9348A" w:rsidP="00426349">
            <w:pPr>
              <w:spacing w:before="0" w:after="0"/>
              <w:rPr>
                <w:sz w:val="20"/>
                <w:szCs w:val="20"/>
              </w:rPr>
            </w:pPr>
            <w:r>
              <w:rPr>
                <w:noProof/>
                <w:sz w:val="20"/>
                <w:szCs w:val="20"/>
              </w:rPr>
              <w:t>Partially</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T</w:t>
            </w:r>
            <w:r w:rsidRPr="00E9348A">
              <w:rPr>
                <w:sz w:val="20"/>
                <w:szCs w:val="20"/>
              </w:rPr>
              <w:t>.</w:t>
            </w:r>
            <w:r>
              <w:rPr>
                <w:noProof/>
                <w:sz w:val="20"/>
                <w:szCs w:val="20"/>
              </w:rPr>
              <w:t>02.2</w:t>
            </w:r>
            <w:r>
              <w:rPr>
                <w:sz w:val="20"/>
                <w:szCs w:val="20"/>
              </w:rPr>
              <w:t xml:space="preserve"> -</w:t>
            </w:r>
            <w:r w:rsidRPr="00E9348A">
              <w:rPr>
                <w:sz w:val="20"/>
                <w:szCs w:val="20"/>
              </w:rPr>
              <w:t xml:space="preserve"> </w:t>
            </w:r>
            <w:r>
              <w:rPr>
                <w:sz w:val="20"/>
                <w:szCs w:val="20"/>
              </w:rPr>
              <w:t xml:space="preserve"> </w:t>
            </w:r>
            <w:r>
              <w:rPr>
                <w:noProof/>
                <w:sz w:val="20"/>
                <w:szCs w:val="20"/>
              </w:rPr>
              <w:t>Next Generation Network (NGN) Infrastructure: The existence of national or regional NGN Plans which take account of regional actions in order to reach the Union high speed Internet access targets, focusing on areas where the market fails to provide an open infrastructure at an affordable cost and of a quality in line with the Union competition and State aid rules, and to provide accessible services to vulnerable groups.</w:t>
            </w:r>
          </w:p>
        </w:tc>
        <w:tc>
          <w:tcPr>
            <w:shd w:val="clear" w:color="auto" w:fill="auto"/>
          </w:tcPr>
          <w:p w:rsidR="008D5009" w:rsidRPr="008A26EF" w:rsidP="00426349">
            <w:pPr>
              <w:spacing w:before="0" w:after="0"/>
              <w:rPr>
                <w:sz w:val="20"/>
                <w:szCs w:val="20"/>
              </w:rPr>
            </w:pPr>
            <w:r>
              <w:rPr>
                <w:noProof/>
                <w:sz w:val="20"/>
                <w:szCs w:val="20"/>
              </w:rPr>
              <w:t>AP2</w:t>
            </w:r>
            <w:r>
              <w:rPr>
                <w:sz w:val="20"/>
                <w:szCs w:val="20"/>
              </w:rPr>
              <w:t xml:space="preserve"> - </w:t>
            </w:r>
            <w:r>
              <w:rPr>
                <w:noProof/>
                <w:sz w:val="20"/>
                <w:szCs w:val="20"/>
              </w:rPr>
              <w:t>Tehnologia informatiei si comunicatiilor (TIC) pentru o economie digitala competitiva</w:t>
            </w:r>
          </w:p>
        </w:tc>
        <w:tc>
          <w:tcPr/>
          <w:p w:rsidR="008D5009" w:rsidRPr="00E9348A" w:rsidP="00426349">
            <w:pPr>
              <w:spacing w:before="0" w:after="0"/>
              <w:rPr>
                <w:sz w:val="20"/>
                <w:szCs w:val="20"/>
              </w:rPr>
            </w:pPr>
            <w:r>
              <w:rPr>
                <w:noProof/>
                <w:sz w:val="20"/>
                <w:szCs w:val="20"/>
              </w:rPr>
              <w:t>Partially</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4</w:t>
            </w:r>
            <w:r>
              <w:rPr>
                <w:sz w:val="20"/>
                <w:szCs w:val="20"/>
              </w:rPr>
              <w:t xml:space="preserve"> -</w:t>
            </w:r>
            <w:r w:rsidRPr="00E9348A">
              <w:rPr>
                <w:sz w:val="20"/>
                <w:szCs w:val="20"/>
              </w:rPr>
              <w:t xml:space="preserve"> </w:t>
            </w:r>
            <w:r>
              <w:rPr>
                <w:sz w:val="20"/>
                <w:szCs w:val="20"/>
              </w:rPr>
              <w:t xml:space="preserve"> </w:t>
            </w:r>
            <w:r>
              <w:rPr>
                <w:noProof/>
                <w:sz w:val="20"/>
                <w:szCs w:val="20"/>
              </w:rPr>
              <w:t>The existence of arrangements for the effective application of Union public procurement law in the field of the ESI Funds.</w:t>
            </w:r>
          </w:p>
        </w:tc>
        <w:tc>
          <w:tcPr>
            <w:shd w:val="clear" w:color="auto" w:fill="auto"/>
          </w:tcPr>
          <w:p w:rsidR="008D5009" w:rsidRPr="008A26EF" w:rsidP="00426349">
            <w:pPr>
              <w:spacing w:before="0" w:after="0"/>
              <w:rPr>
                <w:sz w:val="20"/>
                <w:szCs w:val="20"/>
              </w:rPr>
            </w:pPr>
            <w:r>
              <w:rPr>
                <w:noProof/>
                <w:sz w:val="20"/>
                <w:szCs w:val="20"/>
              </w:rPr>
              <w:t>AP1</w:t>
            </w:r>
            <w:r>
              <w:rPr>
                <w:sz w:val="20"/>
                <w:szCs w:val="20"/>
              </w:rPr>
              <w:t xml:space="preserve"> - </w:t>
            </w:r>
            <w:r>
              <w:rPr>
                <w:noProof/>
                <w:sz w:val="20"/>
                <w:szCs w:val="20"/>
              </w:rPr>
              <w:t>Cercetare, dezvoltare tehnologica si inovare (CDI) in sprijinul competitivitatii economice si dezvoltarii afacerilor</w:t>
            </w:r>
          </w:p>
          <w:p w:rsidR="008D5009" w:rsidRPr="008A26EF" w:rsidP="00426349">
            <w:pPr>
              <w:spacing w:before="0" w:after="0"/>
              <w:rPr>
                <w:sz w:val="20"/>
                <w:szCs w:val="20"/>
              </w:rPr>
            </w:pPr>
            <w:r>
              <w:rPr>
                <w:noProof/>
                <w:sz w:val="20"/>
                <w:szCs w:val="20"/>
              </w:rPr>
              <w:t>AP2</w:t>
            </w:r>
            <w:r>
              <w:rPr>
                <w:sz w:val="20"/>
                <w:szCs w:val="20"/>
              </w:rPr>
              <w:t xml:space="preserve"> - </w:t>
            </w:r>
            <w:r>
              <w:rPr>
                <w:noProof/>
                <w:sz w:val="20"/>
                <w:szCs w:val="20"/>
              </w:rPr>
              <w:t>Tehnologia informatiei si comunicatiilor (TIC) pentru o economie digitala competitiva</w:t>
            </w:r>
          </w:p>
        </w:tc>
        <w:tc>
          <w:tcPr/>
          <w:p w:rsidR="008D5009" w:rsidRPr="00E9348A" w:rsidP="00426349">
            <w:pPr>
              <w:spacing w:before="0" w:after="0"/>
              <w:rPr>
                <w:sz w:val="20"/>
                <w:szCs w:val="20"/>
              </w:rPr>
            </w:pPr>
            <w:r>
              <w:rPr>
                <w:noProof/>
                <w:sz w:val="20"/>
                <w:szCs w:val="20"/>
              </w:rPr>
              <w:t>No</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5</w:t>
            </w:r>
            <w:r>
              <w:rPr>
                <w:sz w:val="20"/>
                <w:szCs w:val="20"/>
              </w:rPr>
              <w:t xml:space="preserve"> -</w:t>
            </w:r>
            <w:r w:rsidRPr="00E9348A">
              <w:rPr>
                <w:sz w:val="20"/>
                <w:szCs w:val="20"/>
              </w:rPr>
              <w:t xml:space="preserve"> </w:t>
            </w:r>
            <w:r>
              <w:rPr>
                <w:sz w:val="20"/>
                <w:szCs w:val="20"/>
              </w:rPr>
              <w:t xml:space="preserve"> </w:t>
            </w:r>
            <w:r>
              <w:rPr>
                <w:noProof/>
                <w:sz w:val="20"/>
                <w:szCs w:val="20"/>
              </w:rPr>
              <w:t>The existence of arrangements for the effective application of Union State aid rules in the field of the ESI Funds.</w:t>
            </w:r>
          </w:p>
        </w:tc>
        <w:tc>
          <w:tcPr>
            <w:shd w:val="clear" w:color="auto" w:fill="auto"/>
          </w:tcPr>
          <w:p w:rsidR="008D5009" w:rsidRPr="008A26EF" w:rsidP="00426349">
            <w:pPr>
              <w:spacing w:before="0" w:after="0"/>
              <w:rPr>
                <w:sz w:val="20"/>
                <w:szCs w:val="20"/>
              </w:rPr>
            </w:pPr>
            <w:r>
              <w:rPr>
                <w:noProof/>
                <w:sz w:val="20"/>
                <w:szCs w:val="20"/>
              </w:rPr>
              <w:t>AP1</w:t>
            </w:r>
            <w:r>
              <w:rPr>
                <w:sz w:val="20"/>
                <w:szCs w:val="20"/>
              </w:rPr>
              <w:t xml:space="preserve"> - </w:t>
            </w:r>
            <w:r>
              <w:rPr>
                <w:noProof/>
                <w:sz w:val="20"/>
                <w:szCs w:val="20"/>
              </w:rPr>
              <w:t>Cercetare, dezvoltare tehnologica si inovare (CDI) in sprijinul competitivitatii economice si dezvoltarii afacerilor</w:t>
            </w:r>
          </w:p>
          <w:p w:rsidR="008D5009" w:rsidRPr="008A26EF" w:rsidP="00426349">
            <w:pPr>
              <w:spacing w:before="0" w:after="0"/>
              <w:rPr>
                <w:sz w:val="20"/>
                <w:szCs w:val="20"/>
              </w:rPr>
            </w:pPr>
            <w:r>
              <w:rPr>
                <w:noProof/>
                <w:sz w:val="20"/>
                <w:szCs w:val="20"/>
              </w:rPr>
              <w:t>AP2</w:t>
            </w:r>
            <w:r>
              <w:rPr>
                <w:sz w:val="20"/>
                <w:szCs w:val="20"/>
              </w:rPr>
              <w:t xml:space="preserve"> - </w:t>
            </w:r>
            <w:r>
              <w:rPr>
                <w:noProof/>
                <w:sz w:val="20"/>
                <w:szCs w:val="20"/>
              </w:rPr>
              <w:t>Tehnologia informatiei si comunicatiilor (TIC) pentru o economie digitala competitiva</w:t>
            </w:r>
          </w:p>
        </w:tc>
        <w:tc>
          <w:tcPr/>
          <w:p w:rsidR="008D5009" w:rsidRPr="00E9348A" w:rsidP="00426349">
            <w:pPr>
              <w:spacing w:before="0" w:after="0"/>
              <w:rPr>
                <w:sz w:val="20"/>
                <w:szCs w:val="20"/>
              </w:rPr>
            </w:pPr>
            <w:r>
              <w:rPr>
                <w:noProof/>
                <w:sz w:val="20"/>
                <w:szCs w:val="20"/>
              </w:rPr>
              <w:t>Partially</w:t>
            </w:r>
          </w:p>
        </w:tc>
      </w:tr>
      <w:tr w:rsidTr="00426349">
        <w:tblPrEx>
          <w:tblW w:w="5000" w:type="pct"/>
          <w:tblLook w:val="04A0"/>
        </w:tblPrEx>
        <w:trPr>
          <w:trHeight w:val="397"/>
        </w:trPr>
        <w:tc>
          <w:tcPr>
            <w:shd w:val="clear" w:color="auto" w:fill="auto"/>
          </w:tcPr>
          <w:p w:rsidR="008D5009" w:rsidRPr="00E9348A" w:rsidP="00426349">
            <w:pPr>
              <w:spacing w:before="0" w:after="0"/>
              <w:rPr>
                <w:sz w:val="20"/>
                <w:szCs w:val="20"/>
              </w:rPr>
            </w:pPr>
            <w:r>
              <w:rPr>
                <w:noProof/>
                <w:sz w:val="20"/>
                <w:szCs w:val="20"/>
              </w:rPr>
              <w:t>G</w:t>
            </w:r>
            <w:r w:rsidRPr="00E9348A">
              <w:rPr>
                <w:sz w:val="20"/>
                <w:szCs w:val="20"/>
              </w:rPr>
              <w:t>.</w:t>
            </w:r>
            <w:r>
              <w:rPr>
                <w:noProof/>
                <w:sz w:val="20"/>
                <w:szCs w:val="20"/>
              </w:rPr>
              <w:t>7</w:t>
            </w:r>
            <w:r>
              <w:rPr>
                <w:sz w:val="20"/>
                <w:szCs w:val="20"/>
              </w:rPr>
              <w:t xml:space="preserve"> -</w:t>
            </w:r>
            <w:r w:rsidRPr="00E9348A">
              <w:rPr>
                <w:sz w:val="20"/>
                <w:szCs w:val="20"/>
              </w:rPr>
              <w:t xml:space="preserve"> </w:t>
            </w:r>
            <w:r>
              <w:rPr>
                <w:sz w:val="20"/>
                <w:szCs w:val="20"/>
              </w:rPr>
              <w:t xml:space="preserve"> </w:t>
            </w:r>
            <w:r>
              <w:rPr>
                <w:noProof/>
                <w:sz w:val="20"/>
                <w:szCs w:val="20"/>
              </w:rPr>
              <w:t>The existence of a statistical basis necessary to undertake evaluations to assess the effectiveness and impact of the programmes. The existence of a system of result indicators necessary to select actions, which most effectively contribute to desired results, to monitor progress towards results and to undertake impact evaluation.</w:t>
            </w:r>
          </w:p>
        </w:tc>
        <w:tc>
          <w:tcPr>
            <w:shd w:val="clear" w:color="auto" w:fill="auto"/>
          </w:tcPr>
          <w:p w:rsidR="008D5009" w:rsidRPr="008A26EF" w:rsidP="00426349">
            <w:pPr>
              <w:spacing w:before="0" w:after="0"/>
              <w:rPr>
                <w:sz w:val="20"/>
                <w:szCs w:val="20"/>
              </w:rPr>
            </w:pPr>
            <w:r>
              <w:rPr>
                <w:noProof/>
                <w:sz w:val="20"/>
                <w:szCs w:val="20"/>
              </w:rPr>
              <w:t>AP1</w:t>
            </w:r>
            <w:r>
              <w:rPr>
                <w:sz w:val="20"/>
                <w:szCs w:val="20"/>
              </w:rPr>
              <w:t xml:space="preserve"> - </w:t>
            </w:r>
            <w:r>
              <w:rPr>
                <w:noProof/>
                <w:sz w:val="20"/>
                <w:szCs w:val="20"/>
              </w:rPr>
              <w:t>Cercetare, dezvoltare tehnologica si inovare (CDI) in sprijinul competitivitatii economice si dezvoltarii afacerilor</w:t>
            </w:r>
          </w:p>
          <w:p w:rsidR="008D5009" w:rsidRPr="008A26EF" w:rsidP="00426349">
            <w:pPr>
              <w:spacing w:before="0" w:after="0"/>
              <w:rPr>
                <w:sz w:val="20"/>
                <w:szCs w:val="20"/>
              </w:rPr>
            </w:pPr>
            <w:r>
              <w:rPr>
                <w:noProof/>
                <w:sz w:val="20"/>
                <w:szCs w:val="20"/>
              </w:rPr>
              <w:t>AP2</w:t>
            </w:r>
            <w:r>
              <w:rPr>
                <w:sz w:val="20"/>
                <w:szCs w:val="20"/>
              </w:rPr>
              <w:t xml:space="preserve"> - </w:t>
            </w:r>
            <w:r>
              <w:rPr>
                <w:noProof/>
                <w:sz w:val="20"/>
                <w:szCs w:val="20"/>
              </w:rPr>
              <w:t>Tehnologia informatiei si comunicatiilor (TIC) pentru o economie digitala competitiva</w:t>
            </w:r>
          </w:p>
        </w:tc>
        <w:tc>
          <w:tcPr/>
          <w:p w:rsidR="008D5009" w:rsidRPr="00E9348A" w:rsidP="00426349">
            <w:pPr>
              <w:spacing w:before="0" w:after="0"/>
              <w:rPr>
                <w:sz w:val="20"/>
                <w:szCs w:val="20"/>
              </w:rPr>
            </w:pPr>
            <w:r>
              <w:rPr>
                <w:noProof/>
                <w:sz w:val="20"/>
                <w:szCs w:val="20"/>
              </w:rPr>
              <w:t>Partially</w:t>
            </w:r>
          </w:p>
        </w:tc>
      </w:tr>
    </w:tbl>
    <w:p w:rsidR="008D5009" w:rsidP="008D5009">
      <w:pPr>
        <w:spacing w:before="0" w:after="0"/>
        <w:sectPr w:rsidSect="00426349">
          <w:pgSz w:w="11906" w:h="16838"/>
          <w:pgMar w:top="1022" w:right="1699" w:bottom="1022" w:left="1584" w:header="283" w:footer="283" w:gutter="0"/>
          <w:cols w:space="708"/>
          <w:docGrid w:linePitch="360"/>
        </w:sect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2823"/>
        <w:gridCol w:w="1844"/>
        <w:gridCol w:w="980"/>
        <w:gridCol w:w="5516"/>
        <w:gridCol w:w="3610"/>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Ex>
        <w:trPr>
          <w:tblHeader/>
        </w:trPr>
        <w:tc>
          <w:tcPr>
            <w:shd w:val="clear" w:color="auto" w:fill="auto"/>
          </w:tcPr>
          <w:p w:rsidR="008D5009" w:rsidRPr="00B43DD0" w:rsidP="00426349">
            <w:pPr>
              <w:spacing w:before="0" w:after="0"/>
              <w:jc w:val="center"/>
              <w:rPr>
                <w:b/>
                <w:sz w:val="20"/>
              </w:rPr>
            </w:pPr>
            <w:r w:rsidRPr="00B43DD0">
              <w:rPr>
                <w:b/>
                <w:noProof/>
                <w:sz w:val="20"/>
              </w:rPr>
              <w:t>Ex-ante conditionality</w:t>
            </w:r>
          </w:p>
        </w:tc>
        <w:tc>
          <w:tcPr/>
          <w:p w:rsidR="008D5009" w:rsidRPr="00B43DD0" w:rsidP="00426349">
            <w:pPr>
              <w:spacing w:before="0" w:after="0"/>
              <w:jc w:val="center"/>
              <w:rPr>
                <w:b/>
                <w:sz w:val="20"/>
              </w:rPr>
            </w:pPr>
            <w:r w:rsidRPr="00B43DD0">
              <w:rPr>
                <w:b/>
                <w:noProof/>
                <w:sz w:val="20"/>
              </w:rPr>
              <w:t>Criteria</w:t>
            </w:r>
          </w:p>
        </w:tc>
        <w:tc>
          <w:tcPr/>
          <w:p w:rsidR="008D5009" w:rsidRPr="00B43DD0" w:rsidP="00426349">
            <w:pPr>
              <w:spacing w:before="0" w:after="0"/>
              <w:jc w:val="center"/>
              <w:rPr>
                <w:b/>
                <w:sz w:val="20"/>
              </w:rPr>
            </w:pPr>
            <w:r w:rsidRPr="00B43DD0">
              <w:rPr>
                <w:b/>
                <w:noProof/>
                <w:sz w:val="20"/>
              </w:rPr>
              <w:t>Criteria fulfilled (Yes/No)</w:t>
            </w:r>
          </w:p>
        </w:tc>
        <w:tc>
          <w:tcPr/>
          <w:p w:rsidR="008D5009" w:rsidRPr="00B43DD0" w:rsidP="00426349">
            <w:pPr>
              <w:spacing w:before="0" w:after="0"/>
              <w:jc w:val="center"/>
              <w:rPr>
                <w:sz w:val="18"/>
                <w:szCs w:val="18"/>
              </w:rPr>
            </w:pPr>
            <w:r w:rsidRPr="00B43DD0">
              <w:rPr>
                <w:b/>
                <w:noProof/>
                <w:sz w:val="22"/>
                <w:szCs w:val="22"/>
              </w:rPr>
              <w:t>Reference</w:t>
            </w:r>
          </w:p>
        </w:tc>
        <w:tc>
          <w:tcPr/>
          <w:p w:rsidR="008D5009" w:rsidRPr="00B43DD0" w:rsidP="00426349">
            <w:pPr>
              <w:spacing w:before="0" w:after="0"/>
              <w:jc w:val="center"/>
              <w:rPr>
                <w:b/>
                <w:sz w:val="22"/>
                <w:szCs w:val="22"/>
              </w:rPr>
            </w:pPr>
            <w:r w:rsidRPr="00B43DD0">
              <w:rPr>
                <w:b/>
                <w:noProof/>
                <w:sz w:val="22"/>
                <w:szCs w:val="22"/>
              </w:rPr>
              <w:t>Explanations</w:t>
            </w: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Research and innovation: The existence of a national or regional smart specialisation strategy in line with the National Reform Program, to leverage private research and innovation expenditure, which complies with the features of well performing national or regional R&amp;I systems.</w:t>
            </w:r>
          </w:p>
        </w:tc>
        <w:tc>
          <w:tcPr/>
          <w:p w:rsidR="008D5009" w:rsidRPr="00DC028E" w:rsidP="00426349">
            <w:pPr>
              <w:spacing w:before="0" w:after="0"/>
              <w:rPr>
                <w:sz w:val="20"/>
              </w:rPr>
            </w:pPr>
            <w:r>
              <w:rPr>
                <w:noProof/>
                <w:sz w:val="20"/>
              </w:rPr>
              <w:t>1</w:t>
            </w:r>
            <w:r>
              <w:rPr>
                <w:sz w:val="20"/>
              </w:rPr>
              <w:t xml:space="preserve"> - </w:t>
            </w:r>
            <w:r>
              <w:rPr>
                <w:noProof/>
                <w:sz w:val="20"/>
              </w:rPr>
              <w:t>A national or regional smart specialisation strategy is in place that:</w:t>
            </w:r>
          </w:p>
        </w:tc>
        <w:tc>
          <w:tcPr/>
          <w:p w:rsidR="008D5009" w:rsidRPr="00DC028E" w:rsidP="00426349">
            <w:pPr>
              <w:spacing w:before="0" w:after="0"/>
              <w:jc w:val="center"/>
              <w:rPr>
                <w:sz w:val="20"/>
              </w:rPr>
            </w:pPr>
            <w:r>
              <w:rPr>
                <w:noProof/>
                <w:sz w:val="20"/>
              </w:rPr>
              <w:t>Yes</w:t>
            </w:r>
          </w:p>
        </w:tc>
        <w:tc>
          <w:tcPr/>
          <w:p w:rsidR="008D5009" w:rsidRPr="00E9348A" w:rsidP="00426349">
            <w:pPr>
              <w:spacing w:before="0" w:after="0"/>
              <w:rPr>
                <w:sz w:val="20"/>
                <w:szCs w:val="20"/>
              </w:rPr>
            </w:pPr>
            <w:r>
              <w:rPr>
                <w:rFonts w:ascii="Times New Roman" w:eastAsia="Times New Roman" w:hAnsi="Times New Roman" w:cs="Times New Roman"/>
              </w:rPr>
              <w:t xml:space="preserve">http://www.research.edu.ro/ro/a rticol/3343/strategia-nationala-de-cercetare-si-inovare-2014-2020 </w:t>
            </w:r>
          </w:p>
        </w:tc>
        <w:tc>
          <w:tcPr/>
          <w:p w:rsidR="008D5009" w:rsidRPr="00E9348A" w:rsidP="00426349">
            <w:pPr>
              <w:spacing w:before="0" w:after="0"/>
              <w:rPr>
                <w:sz w:val="20"/>
                <w:szCs w:val="20"/>
              </w:rPr>
            </w:pPr>
            <w:r w:rsidRPr="00E9348A">
              <w:rPr>
                <w:noProof/>
                <w:sz w:val="20"/>
                <w:szCs w:val="20"/>
              </w:rPr>
              <w:t>SNCDI este cadrul de politică publică națională care include și orientările de specializare inteligentă.</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SNCDI a fost aprobat prin HG nr.929/2014.</w:t>
            </w:r>
          </w:p>
          <w:p w:rsidR="008D5009" w:rsidRPr="00E9348A" w:rsidP="00426349">
            <w:pPr>
              <w:spacing w:before="0" w:after="0"/>
              <w:rPr>
                <w:sz w:val="20"/>
                <w:szCs w:val="20"/>
              </w:rPr>
            </w:pP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Research and innovation: The existence of a national or regional smart specialisation strategy in line with the National Reform Program, to leverage private research and innovation expenditure, which complies with the features of well performing national or regional R&amp;I systems.</w:t>
            </w:r>
          </w:p>
        </w:tc>
        <w:tc>
          <w:tcPr/>
          <w:p w:rsidR="008D5009" w:rsidRPr="00DC028E" w:rsidP="00426349">
            <w:pPr>
              <w:spacing w:before="0" w:after="0"/>
              <w:rPr>
                <w:sz w:val="20"/>
              </w:rPr>
            </w:pPr>
            <w:r>
              <w:rPr>
                <w:noProof/>
                <w:sz w:val="20"/>
              </w:rPr>
              <w:t>2</w:t>
            </w:r>
            <w:r>
              <w:rPr>
                <w:sz w:val="20"/>
              </w:rPr>
              <w:t xml:space="preserve"> - </w:t>
            </w:r>
            <w:r>
              <w:rPr>
                <w:noProof/>
                <w:sz w:val="20"/>
              </w:rPr>
              <w:t>is based on a SWOT or similar analysis to concentrate resources on a limited set of research and innovation priorities;</w:t>
            </w:r>
          </w:p>
        </w:tc>
        <w:tc>
          <w:tcPr/>
          <w:p w:rsidR="008D5009" w:rsidRPr="00DC028E" w:rsidP="00426349">
            <w:pPr>
              <w:spacing w:before="0" w:after="0"/>
              <w:jc w:val="center"/>
              <w:rPr>
                <w:sz w:val="20"/>
              </w:rPr>
            </w:pPr>
            <w:r>
              <w:rPr>
                <w:noProof/>
                <w:sz w:val="20"/>
              </w:rPr>
              <w:t>Yes</w:t>
            </w:r>
          </w:p>
        </w:tc>
        <w:tc>
          <w:tcPr/>
          <w:p w:rsidR="008D5009" w:rsidRPr="00E9348A" w:rsidP="00426349">
            <w:pPr>
              <w:spacing w:before="0" w:after="0"/>
              <w:rPr>
                <w:sz w:val="20"/>
                <w:szCs w:val="20"/>
              </w:rPr>
            </w:pPr>
            <w:r>
              <w:rPr>
                <w:rFonts w:ascii="Times New Roman" w:eastAsia="Times New Roman" w:hAnsi="Times New Roman" w:cs="Times New Roman"/>
              </w:rPr>
              <w:t xml:space="preserve">http://www.research.edu.ro/ro/a rticol/3343/strategia-nationala-de-cercetare-si-inovare-2014-2020 </w:t>
            </w:r>
          </w:p>
        </w:tc>
        <w:tc>
          <w:tcPr/>
          <w:p w:rsidR="008D5009" w:rsidRPr="00E9348A" w:rsidP="00426349">
            <w:pPr>
              <w:spacing w:before="0" w:after="0"/>
              <w:rPr>
                <w:sz w:val="20"/>
                <w:szCs w:val="20"/>
              </w:rPr>
            </w:pPr>
            <w:r w:rsidRPr="00E9348A">
              <w:rPr>
                <w:noProof/>
                <w:sz w:val="20"/>
                <w:szCs w:val="20"/>
              </w:rPr>
              <w:t>Cap.1 (previzualizare metodologică) a SNCDI conține o descriere a metodologiei folosite pentru prioritizarea și concentrarea resurselor. Strategia definește un mixt de politici concentrate pe un număr limitat de priorități selectate prin metode de previziune moderne pornind de la o analiza a potențialului de dezvoltare bazat pe cercetare-inovare (http://www.poscce.edu.ro/uploads/pro gramare-2014-2020/final-report-12-aprilie.pdf) și având în vedere alte strategii relevante, în particular cu Orizont 2020, SNC și SNS.</w:t>
            </w: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Research and innovation: The existence of a national or regional smart specialisation strategy in line with the National Reform Program, to leverage private research and innovation expenditure, which complies with the features of well performing national or regional R&amp;I systems.</w:t>
            </w:r>
          </w:p>
        </w:tc>
        <w:tc>
          <w:tcPr/>
          <w:p w:rsidR="008D5009" w:rsidRPr="00DC028E" w:rsidP="00426349">
            <w:pPr>
              <w:spacing w:before="0" w:after="0"/>
              <w:rPr>
                <w:sz w:val="20"/>
              </w:rPr>
            </w:pPr>
            <w:r>
              <w:rPr>
                <w:noProof/>
                <w:sz w:val="20"/>
              </w:rPr>
              <w:t>3</w:t>
            </w:r>
            <w:r>
              <w:rPr>
                <w:sz w:val="20"/>
              </w:rPr>
              <w:t xml:space="preserve"> - </w:t>
            </w:r>
            <w:r>
              <w:rPr>
                <w:noProof/>
                <w:sz w:val="20"/>
              </w:rPr>
              <w:t>outlines measures to stimulate private RTD investment;</w:t>
            </w:r>
          </w:p>
        </w:tc>
        <w:tc>
          <w:tcPr/>
          <w:p w:rsidR="008D5009" w:rsidRPr="00DC028E" w:rsidP="00426349">
            <w:pPr>
              <w:spacing w:before="0" w:after="0"/>
              <w:jc w:val="center"/>
              <w:rPr>
                <w:sz w:val="20"/>
              </w:rPr>
            </w:pPr>
            <w:r>
              <w:rPr>
                <w:noProof/>
                <w:sz w:val="20"/>
              </w:rPr>
              <w:t>Yes</w:t>
            </w:r>
          </w:p>
        </w:tc>
        <w:tc>
          <w:tcPr/>
          <w:p w:rsidR="008D5009" w:rsidRPr="00E9348A" w:rsidP="00426349">
            <w:pPr>
              <w:spacing w:before="0" w:after="0"/>
              <w:rPr>
                <w:sz w:val="20"/>
                <w:szCs w:val="20"/>
              </w:rPr>
            </w:pPr>
            <w:r>
              <w:rPr>
                <w:rFonts w:ascii="Times New Roman" w:eastAsia="Times New Roman" w:hAnsi="Times New Roman" w:cs="Times New Roman"/>
              </w:rPr>
              <w:t xml:space="preserve">http://www.research.ro/ro/artico l/3343/strategia-nationala-de-cercetare-si-inovare-2014-2020 </w:t>
            </w:r>
          </w:p>
        </w:tc>
        <w:tc>
          <w:tcPr/>
          <w:p w:rsidR="008D5009" w:rsidRPr="00E9348A" w:rsidP="00426349">
            <w:pPr>
              <w:spacing w:before="0" w:after="0"/>
              <w:rPr>
                <w:sz w:val="20"/>
                <w:szCs w:val="20"/>
              </w:rPr>
            </w:pPr>
            <w:r w:rsidRPr="00E9348A">
              <w:rPr>
                <w:noProof/>
                <w:sz w:val="20"/>
                <w:szCs w:val="20"/>
              </w:rPr>
              <w:t>Cap. 4 al SNCDI descrie măsurile pentru stimularea investiţiilor private CDI: 4.1 "Crearea unui mediu stimulativ pentru sectorul privat" şi 4.2 "Sprijin pentru procesul de specializare inteligenta".</w:t>
            </w:r>
          </w:p>
          <w:p w:rsidR="008D5009" w:rsidRPr="00E9348A" w:rsidP="00426349">
            <w:pPr>
              <w:spacing w:before="0" w:after="0"/>
              <w:rPr>
                <w:sz w:val="20"/>
                <w:szCs w:val="20"/>
              </w:rPr>
            </w:pPr>
            <w:r w:rsidRPr="00E9348A">
              <w:rPr>
                <w:noProof/>
                <w:sz w:val="20"/>
                <w:szCs w:val="20"/>
              </w:rPr>
              <w:t>Unele măsuri vor putea fi implementate și prin: POC, POR, POCU, PNCDI III. Pentru a sprijini activitatea de CDI sunt propuse măsuri fiscale şi instrumente financiare (seed capital, venture capital and growth, microcredite etc.).</w:t>
            </w:r>
          </w:p>
          <w:p w:rsidR="008D5009" w:rsidRPr="00E9348A" w:rsidP="00426349">
            <w:pPr>
              <w:spacing w:before="0" w:after="0"/>
              <w:rPr>
                <w:sz w:val="20"/>
                <w:szCs w:val="20"/>
              </w:rPr>
            </w:pPr>
            <w:r w:rsidRPr="00E9348A">
              <w:rPr>
                <w:noProof/>
                <w:sz w:val="20"/>
                <w:szCs w:val="20"/>
              </w:rPr>
              <w:t>Cu toate acestea, sunt necesare măsuri pentru  imbunatatirea eficienței procesului  de descoperire antreprenorială și integrarea sistemului CDI in economia națională.</w:t>
            </w:r>
          </w:p>
          <w:p w:rsidR="008D5009" w:rsidRPr="00E9348A" w:rsidP="00426349">
            <w:pPr>
              <w:spacing w:before="0" w:after="0"/>
              <w:rPr>
                <w:sz w:val="20"/>
                <w:szCs w:val="20"/>
              </w:rPr>
            </w:pP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Research and innovation: The existence of a national or regional smart specialisation strategy in line with the National Reform Program, to leverage private research and innovation expenditure, which complies with the features of well performing national or regional R&amp;I systems.</w:t>
            </w:r>
          </w:p>
        </w:tc>
        <w:tc>
          <w:tcPr/>
          <w:p w:rsidR="008D5009" w:rsidRPr="00DC028E" w:rsidP="00426349">
            <w:pPr>
              <w:spacing w:before="0" w:after="0"/>
              <w:rPr>
                <w:sz w:val="20"/>
              </w:rPr>
            </w:pPr>
            <w:r>
              <w:rPr>
                <w:noProof/>
                <w:sz w:val="20"/>
              </w:rPr>
              <w:t>4</w:t>
            </w:r>
            <w:r>
              <w:rPr>
                <w:sz w:val="20"/>
              </w:rPr>
              <w:t xml:space="preserve"> - </w:t>
            </w:r>
            <w:r>
              <w:rPr>
                <w:noProof/>
                <w:sz w:val="20"/>
              </w:rPr>
              <w:t>contains a monitoring mechanism.</w:t>
            </w:r>
          </w:p>
        </w:tc>
        <w:tc>
          <w:tcPr/>
          <w:p w:rsidR="008D5009" w:rsidRPr="00DC028E" w:rsidP="00426349">
            <w:pPr>
              <w:spacing w:before="0" w:after="0"/>
              <w:jc w:val="center"/>
              <w:rPr>
                <w:sz w:val="20"/>
              </w:rPr>
            </w:pPr>
            <w:r>
              <w:rPr>
                <w:noProof/>
                <w:sz w:val="20"/>
              </w:rPr>
              <w:t>No</w:t>
            </w:r>
          </w:p>
        </w:tc>
        <w:tc>
          <w:tcPr/>
          <w:p w:rsidR="008D5009" w:rsidRPr="00E9348A" w:rsidP="00426349">
            <w:pPr>
              <w:spacing w:before="0" w:after="0"/>
              <w:rPr>
                <w:sz w:val="20"/>
                <w:szCs w:val="20"/>
              </w:rPr>
            </w:pPr>
            <w:r>
              <w:rPr>
                <w:rFonts w:ascii="Times New Roman" w:eastAsia="Times New Roman" w:hAnsi="Times New Roman" w:cs="Times New Roman"/>
              </w:rPr>
              <w:t xml:space="preserve">http://www.research.ro/ro/artico l/3343/strategia-nationala-de-cercetare-si-inovare-2014-2020 </w:t>
            </w:r>
          </w:p>
        </w:tc>
        <w:tc>
          <w:tcPr/>
          <w:p w:rsidR="008D5009" w:rsidRPr="00E9348A" w:rsidP="00426349">
            <w:pPr>
              <w:spacing w:before="0" w:after="0"/>
              <w:rPr>
                <w:sz w:val="20"/>
                <w:szCs w:val="20"/>
              </w:rPr>
            </w:pPr>
            <w:r w:rsidRPr="00E9348A">
              <w:rPr>
                <w:noProof/>
                <w:sz w:val="20"/>
                <w:szCs w:val="20"/>
              </w:rPr>
              <w:t>SNCDI conține un mecanism de monitorizare şi evaluare stabilit pe baza de indicatori şi obiective. Capitolul 5 "ţinte" prezintă indicatori cu obiective si capitolul 6 "guvernare" prezintă structura de guvernare si un mecanism de monitorizare, precum si o descriere modulului de reactie la constatările monitorizării.</w:t>
            </w:r>
          </w:p>
          <w:p w:rsidR="008D5009" w:rsidRPr="00E9348A" w:rsidP="00426349">
            <w:pPr>
              <w:spacing w:before="0" w:after="0"/>
              <w:rPr>
                <w:sz w:val="20"/>
                <w:szCs w:val="20"/>
              </w:rPr>
            </w:pPr>
            <w:r w:rsidRPr="00E9348A">
              <w:rPr>
                <w:noProof/>
                <w:sz w:val="20"/>
                <w:szCs w:val="20"/>
              </w:rPr>
              <w:t>Cu toate acestea, sunt necesare măsuri pentru  imbunatatirea eficienței procesului  de descoperire antreprenorială și integrarea sistemului CDI in economia națională.</w:t>
            </w: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01.1</w:t>
            </w:r>
            <w:r w:rsidRPr="00E9348A">
              <w:rPr>
                <w:sz w:val="20"/>
                <w:szCs w:val="20"/>
              </w:rPr>
              <w:t xml:space="preserve"> </w:t>
            </w:r>
            <w:r>
              <w:rPr>
                <w:sz w:val="20"/>
                <w:szCs w:val="20"/>
              </w:rPr>
              <w:t xml:space="preserve">-  </w:t>
            </w:r>
            <w:r w:rsidRPr="00E9348A">
              <w:rPr>
                <w:noProof/>
                <w:sz w:val="20"/>
                <w:szCs w:val="20"/>
              </w:rPr>
              <w:t>Research and innovation: The existence of a national or regional smart specialisation strategy in line with the National Reform Program, to leverage private research and innovation expenditure, which complies with the features of well performing national or regional R&amp;I systems.</w:t>
            </w:r>
          </w:p>
        </w:tc>
        <w:tc>
          <w:tcPr/>
          <w:p w:rsidR="008D5009" w:rsidRPr="00DC028E" w:rsidP="00426349">
            <w:pPr>
              <w:spacing w:before="0" w:after="0"/>
              <w:rPr>
                <w:sz w:val="20"/>
              </w:rPr>
            </w:pPr>
            <w:r>
              <w:rPr>
                <w:noProof/>
                <w:sz w:val="20"/>
              </w:rPr>
              <w:t>5</w:t>
            </w:r>
            <w:r>
              <w:rPr>
                <w:sz w:val="20"/>
              </w:rPr>
              <w:t xml:space="preserve"> - </w:t>
            </w:r>
            <w:r>
              <w:rPr>
                <w:noProof/>
                <w:sz w:val="20"/>
              </w:rPr>
              <w:t>A framework outlining available budgetary resources for research and innovation has been adopted.</w:t>
            </w:r>
          </w:p>
        </w:tc>
        <w:tc>
          <w:tcPr/>
          <w:p w:rsidR="008D5009" w:rsidRPr="00DC028E" w:rsidP="00426349">
            <w:pPr>
              <w:spacing w:before="0" w:after="0"/>
              <w:jc w:val="center"/>
              <w:rPr>
                <w:sz w:val="20"/>
              </w:rPr>
            </w:pPr>
            <w:r>
              <w:rPr>
                <w:noProof/>
                <w:sz w:val="20"/>
              </w:rPr>
              <w:t>Yes</w:t>
            </w:r>
          </w:p>
        </w:tc>
        <w:tc>
          <w:tcPr/>
          <w:p w:rsidR="008D5009" w:rsidRPr="00E9348A" w:rsidP="00426349">
            <w:pPr>
              <w:spacing w:before="0" w:after="0"/>
              <w:rPr>
                <w:sz w:val="20"/>
                <w:szCs w:val="20"/>
              </w:rPr>
            </w:pPr>
            <w:r>
              <w:rPr>
                <w:rFonts w:ascii="Times New Roman" w:eastAsia="Times New Roman" w:hAnsi="Times New Roman" w:cs="Times New Roman"/>
              </w:rPr>
              <w:t xml:space="preserve">http://www.research.ro/ro/artic ol/3343/strategia-nationala-de-cercetare-si-inovare-2014-2020 </w:t>
            </w:r>
          </w:p>
        </w:tc>
        <w:tc>
          <w:tcPr/>
          <w:p w:rsidR="008D5009" w:rsidRPr="00E9348A" w:rsidP="00426349">
            <w:pPr>
              <w:spacing w:before="0" w:after="0"/>
              <w:rPr>
                <w:sz w:val="20"/>
                <w:szCs w:val="20"/>
              </w:rPr>
            </w:pPr>
            <w:r w:rsidRPr="00E9348A">
              <w:rPr>
                <w:noProof/>
                <w:sz w:val="20"/>
                <w:szCs w:val="20"/>
              </w:rPr>
              <w:t>Cadrul multianual pentru resursele bugetare disponibile pentru cercetare şi inovare este parte din SNCDI.</w:t>
            </w: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01.2</w:t>
            </w:r>
            <w:r w:rsidRPr="00E9348A">
              <w:rPr>
                <w:sz w:val="20"/>
                <w:szCs w:val="20"/>
              </w:rPr>
              <w:t xml:space="preserve"> </w:t>
            </w:r>
            <w:r>
              <w:rPr>
                <w:sz w:val="20"/>
                <w:szCs w:val="20"/>
              </w:rPr>
              <w:t xml:space="preserve">-  </w:t>
            </w:r>
            <w:r w:rsidRPr="00E9348A">
              <w:rPr>
                <w:noProof/>
                <w:sz w:val="20"/>
                <w:szCs w:val="20"/>
              </w:rPr>
              <w:t>Research and Innovation infrastructure. The existence of a multi annual plan for budgeting and prioritisation of investments.</w:t>
            </w:r>
          </w:p>
        </w:tc>
        <w:tc>
          <w:tcPr/>
          <w:p w:rsidR="008D5009" w:rsidRPr="00DC028E" w:rsidP="00426349">
            <w:pPr>
              <w:spacing w:before="0" w:after="0"/>
              <w:rPr>
                <w:sz w:val="20"/>
              </w:rPr>
            </w:pPr>
            <w:r>
              <w:rPr>
                <w:noProof/>
                <w:sz w:val="20"/>
              </w:rPr>
              <w:t>1</w:t>
            </w:r>
            <w:r>
              <w:rPr>
                <w:sz w:val="20"/>
              </w:rPr>
              <w:t xml:space="preserve"> - </w:t>
            </w:r>
            <w:r>
              <w:rPr>
                <w:noProof/>
                <w:sz w:val="20"/>
              </w:rPr>
              <w:t>An indicative multi-annual plan for budgeting and prioritisation of investments linked to Union priorities, and, where appropriate, the European Strategy Forum on Research Infrastructures (ESFRI) has been adopted.</w:t>
            </w:r>
          </w:p>
        </w:tc>
        <w:tc>
          <w:tcPr/>
          <w:p w:rsidR="008D5009" w:rsidRPr="00DC028E" w:rsidP="00426349">
            <w:pPr>
              <w:spacing w:before="0" w:after="0"/>
              <w:jc w:val="center"/>
              <w:rPr>
                <w:sz w:val="20"/>
              </w:rPr>
            </w:pPr>
            <w:r>
              <w:rPr>
                <w:noProof/>
                <w:sz w:val="20"/>
              </w:rPr>
              <w:t>No</w:t>
            </w:r>
          </w:p>
        </w:tc>
        <w:tc>
          <w:tcPr/>
          <w:p w:rsidR="008D5009" w:rsidRPr="00E9348A" w:rsidP="00426349">
            <w:pPr>
              <w:spacing w:before="0" w:after="0"/>
              <w:rPr>
                <w:sz w:val="20"/>
                <w:szCs w:val="20"/>
              </w:rPr>
            </w:pPr>
            <w:r>
              <w:rPr>
                <w:rFonts w:ascii="Times New Roman" w:eastAsia="Times New Roman" w:hAnsi="Times New Roman" w:cs="Times New Roman"/>
              </w:rPr>
              <w:t xml:space="preserve">http://www.research.ro/ro/artic ol/3343/strategia-nationala-de-cercetare-si-inovare-2014-2020   </w:t>
            </w:r>
          </w:p>
        </w:tc>
        <w:tc>
          <w:tcPr/>
          <w:p w:rsidR="008D5009" w:rsidRPr="00E9348A" w:rsidP="00426349">
            <w:pPr>
              <w:spacing w:before="0" w:after="0"/>
              <w:rPr>
                <w:sz w:val="20"/>
                <w:szCs w:val="20"/>
              </w:rPr>
            </w:pPr>
            <w:r w:rsidRPr="00E9348A">
              <w:rPr>
                <w:noProof/>
                <w:sz w:val="20"/>
                <w:szCs w:val="20"/>
              </w:rPr>
              <w:t>Cadrul multianual pentru resursele bugetare disponibile pentru cercetare şi inovare este parte din SNCDI. Pe baza acestei estimări a cadrului bugetar, investițiile din infrastructura de CDI vor fi prioritizate.</w:t>
            </w:r>
          </w:p>
          <w:p w:rsidR="008D5009" w:rsidRPr="00E9348A" w:rsidP="00426349">
            <w:pPr>
              <w:spacing w:before="0" w:after="0"/>
              <w:rPr>
                <w:sz w:val="20"/>
                <w:szCs w:val="20"/>
              </w:rPr>
            </w:pPr>
            <w:r w:rsidRPr="00E9348A">
              <w:rPr>
                <w:noProof/>
                <w:sz w:val="20"/>
                <w:szCs w:val="20"/>
              </w:rPr>
              <w:t>Pentru îmbunătățirea eficienței procesului de prioritizare, foaia de parcurs național pentru infrastructurile de cercetare va fi actualizată.</w:t>
            </w:r>
          </w:p>
          <w:p w:rsidR="008D5009" w:rsidRPr="00E9348A" w:rsidP="00426349">
            <w:pPr>
              <w:spacing w:before="0" w:after="0"/>
              <w:rPr>
                <w:sz w:val="20"/>
                <w:szCs w:val="20"/>
              </w:rPr>
            </w:pP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 growth: A strategic policy framework for digital growth to stimulate affordable, good quality and interoperable ICT enabled private and public services and increase uptake by citizens, including vulnerable groups, businesses and public administrations including cross border initiatives.</w:t>
            </w:r>
          </w:p>
        </w:tc>
        <w:tc>
          <w:tcPr/>
          <w:p w:rsidR="008D5009" w:rsidRPr="00DC028E" w:rsidP="00426349">
            <w:pPr>
              <w:spacing w:before="0" w:after="0"/>
              <w:rPr>
                <w:sz w:val="20"/>
              </w:rPr>
            </w:pPr>
            <w:r>
              <w:rPr>
                <w:noProof/>
                <w:sz w:val="20"/>
              </w:rPr>
              <w:t>1</w:t>
            </w:r>
            <w:r>
              <w:rPr>
                <w:sz w:val="20"/>
              </w:rPr>
              <w:t xml:space="preserve"> - </w:t>
            </w:r>
            <w:r>
              <w:rPr>
                <w:noProof/>
                <w:sz w:val="20"/>
              </w:rPr>
              <w:t>A strategic policy framework for digital growth, for instance, within the national or regional smart specialisation strategy is in place that contains:</w:t>
            </w:r>
          </w:p>
        </w:tc>
        <w:tc>
          <w:tcPr/>
          <w:p w:rsidR="008D5009" w:rsidRPr="00DC028E" w:rsidP="00426349">
            <w:pPr>
              <w:spacing w:before="0" w:after="0"/>
              <w:jc w:val="center"/>
              <w:rPr>
                <w:sz w:val="20"/>
              </w:rPr>
            </w:pPr>
            <w:r>
              <w:rPr>
                <w:noProof/>
                <w:sz w:val="20"/>
              </w:rPr>
              <w:t>No</w:t>
            </w:r>
          </w:p>
        </w:tc>
        <w:tc>
          <w:tcPr/>
          <w:p w:rsidR="008D5009" w:rsidRPr="00E9348A" w:rsidP="00426349">
            <w:pPr>
              <w:spacing w:before="0" w:after="0"/>
              <w:rPr>
                <w:sz w:val="20"/>
                <w:szCs w:val="20"/>
              </w:rPr>
            </w:pPr>
            <w:r>
              <w:rPr>
                <w:rFonts w:ascii="Times New Roman" w:eastAsia="Times New Roman" w:hAnsi="Times New Roman" w:cs="Times New Roman"/>
              </w:rPr>
              <w:t xml:space="preserve">http://www.mcsi.ro/Transparenta-decizionala/Proiecte-2014 </w:t>
            </w:r>
          </w:p>
        </w:tc>
        <w:tc>
          <w:tcPr/>
          <w:p w:rsidR="008D5009" w:rsidRPr="00E9348A" w:rsidP="00426349">
            <w:pPr>
              <w:spacing w:before="0" w:after="0"/>
              <w:rPr>
                <w:sz w:val="20"/>
                <w:szCs w:val="20"/>
              </w:rPr>
            </w:pPr>
            <w:r w:rsidRPr="00E9348A">
              <w:rPr>
                <w:noProof/>
                <w:sz w:val="20"/>
                <w:szCs w:val="20"/>
              </w:rPr>
              <w:t>SNADR reprezintă cadrul strategic pentru creșterea digitală și asigură îndeplinirea cerințelor condiționalității ex-ante 2.1.</w:t>
            </w:r>
          </w:p>
          <w:p w:rsidR="008D5009" w:rsidRPr="00E9348A" w:rsidP="00426349">
            <w:pPr>
              <w:spacing w:before="0" w:after="0"/>
              <w:rPr>
                <w:sz w:val="20"/>
                <w:szCs w:val="20"/>
              </w:rPr>
            </w:pPr>
            <w:r w:rsidRPr="00E9348A">
              <w:rPr>
                <w:noProof/>
                <w:sz w:val="20"/>
                <w:szCs w:val="20"/>
              </w:rPr>
              <w:t>Versiunea finală a acestui document (noiembrie 2014) integrează recomandările CE, precum si rezultatele consultărilor parteneriale cu actorii relevanți din domeniu.</w:t>
            </w:r>
          </w:p>
          <w:p w:rsidR="008D5009" w:rsidRPr="00E9348A" w:rsidP="00426349">
            <w:pPr>
              <w:spacing w:before="0" w:after="0"/>
              <w:rPr>
                <w:sz w:val="20"/>
                <w:szCs w:val="20"/>
              </w:rPr>
            </w:pPr>
            <w:r w:rsidRPr="00E9348A">
              <w:rPr>
                <w:noProof/>
                <w:sz w:val="20"/>
                <w:szCs w:val="20"/>
              </w:rPr>
              <w:t>Strategia este in curs de adoptare de către Guvern.</w:t>
            </w:r>
          </w:p>
          <w:p w:rsidR="008D5009" w:rsidRPr="00E9348A" w:rsidP="00426349">
            <w:pPr>
              <w:spacing w:before="0" w:after="0"/>
              <w:rPr>
                <w:sz w:val="20"/>
                <w:szCs w:val="20"/>
              </w:rPr>
            </w:pP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 growth: A strategic policy framework for digital growth to stimulate affordable, good quality and interoperable ICT enabled private and public services and increase uptake by citizens, including vulnerable groups, businesses and public administrations including cross border initiatives.</w:t>
            </w:r>
          </w:p>
        </w:tc>
        <w:tc>
          <w:tcPr/>
          <w:p w:rsidR="008D5009" w:rsidRPr="00DC028E" w:rsidP="00426349">
            <w:pPr>
              <w:spacing w:before="0" w:after="0"/>
              <w:rPr>
                <w:sz w:val="20"/>
              </w:rPr>
            </w:pPr>
            <w:r>
              <w:rPr>
                <w:noProof/>
                <w:sz w:val="20"/>
              </w:rPr>
              <w:t>2</w:t>
            </w:r>
            <w:r>
              <w:rPr>
                <w:sz w:val="20"/>
              </w:rPr>
              <w:t xml:space="preserve"> - </w:t>
            </w:r>
            <w:r>
              <w:rPr>
                <w:noProof/>
                <w:sz w:val="20"/>
              </w:rPr>
              <w:t>budgeting and prioritisation of actions through a SWOT or similar analysis consistent with the Scoreboard of the Digital Agenda for Europe;</w:t>
            </w:r>
          </w:p>
        </w:tc>
        <w:tc>
          <w:tcPr/>
          <w:p w:rsidR="008D5009" w:rsidRPr="00DC028E" w:rsidP="00426349">
            <w:pPr>
              <w:spacing w:before="0" w:after="0"/>
              <w:jc w:val="center"/>
              <w:rPr>
                <w:sz w:val="20"/>
              </w:rPr>
            </w:pPr>
            <w:r>
              <w:rPr>
                <w:noProof/>
                <w:sz w:val="20"/>
              </w:rPr>
              <w:t>Yes</w:t>
            </w:r>
          </w:p>
        </w:tc>
        <w:tc>
          <w:tcPr/>
          <w:p w:rsidR="008D5009" w:rsidRPr="00E9348A" w:rsidP="00426349">
            <w:pPr>
              <w:spacing w:before="0" w:after="0"/>
              <w:rPr>
                <w:sz w:val="20"/>
                <w:szCs w:val="20"/>
              </w:rPr>
            </w:pPr>
            <w:r>
              <w:rPr>
                <w:rFonts w:ascii="Times New Roman" w:eastAsia="Times New Roman" w:hAnsi="Times New Roman" w:cs="Times New Roman"/>
              </w:rPr>
              <w:t xml:space="preserve">http://www.mcsi.ro/Transparenta-decizionala/Proiecte-2014 </w:t>
            </w:r>
          </w:p>
        </w:tc>
        <w:tc>
          <w:tcPr/>
          <w:p w:rsidR="008D5009" w:rsidRPr="00E9348A" w:rsidP="00426349">
            <w:pPr>
              <w:spacing w:before="0" w:after="0"/>
              <w:rPr>
                <w:sz w:val="20"/>
                <w:szCs w:val="20"/>
              </w:rPr>
            </w:pPr>
            <w:r w:rsidRPr="00E9348A">
              <w:rPr>
                <w:noProof/>
                <w:sz w:val="20"/>
                <w:szCs w:val="20"/>
              </w:rPr>
              <w:t>Strategia Națională Agenda Digitală pentru România cuprinde:</w:t>
            </w:r>
          </w:p>
          <w:p w:rsidR="008D5009" w:rsidRPr="00E9348A" w:rsidP="00426349">
            <w:pPr>
              <w:spacing w:before="0" w:after="0"/>
              <w:rPr>
                <w:sz w:val="20"/>
                <w:szCs w:val="20"/>
              </w:rPr>
            </w:pPr>
            <w:r w:rsidRPr="00E9348A">
              <w:rPr>
                <w:noProof/>
                <w:sz w:val="20"/>
                <w:szCs w:val="20"/>
              </w:rPr>
              <w:t>–</w:t>
              <w:tab/>
              <w:t xml:space="preserve">Necesarul de investiții pentru implementarea măsurilor strategice </w:t>
            </w:r>
          </w:p>
          <w:p w:rsidR="008D5009" w:rsidRPr="00E9348A" w:rsidP="00426349">
            <w:pPr>
              <w:spacing w:before="0" w:after="0"/>
              <w:rPr>
                <w:sz w:val="20"/>
                <w:szCs w:val="20"/>
              </w:rPr>
            </w:pPr>
            <w:r w:rsidRPr="00E9348A">
              <w:rPr>
                <w:noProof/>
                <w:sz w:val="20"/>
                <w:szCs w:val="20"/>
              </w:rPr>
              <w:t>–</w:t>
              <w:tab/>
              <w:t>Analiza SWOT (Anexa)</w:t>
            </w:r>
          </w:p>
          <w:p w:rsidR="008D5009" w:rsidRPr="00E9348A" w:rsidP="00426349">
            <w:pPr>
              <w:spacing w:before="0" w:after="0"/>
              <w:rPr>
                <w:sz w:val="20"/>
                <w:szCs w:val="20"/>
              </w:rPr>
            </w:pP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 growth: A strategic policy framework for digital growth to stimulate affordable, good quality and interoperable ICT enabled private and public services and increase uptake by citizens, including vulnerable groups, businesses and public administrations including cross border initiatives.</w:t>
            </w:r>
          </w:p>
        </w:tc>
        <w:tc>
          <w:tcPr/>
          <w:p w:rsidR="008D5009" w:rsidRPr="00DC028E" w:rsidP="00426349">
            <w:pPr>
              <w:spacing w:before="0" w:after="0"/>
              <w:rPr>
                <w:sz w:val="20"/>
              </w:rPr>
            </w:pPr>
            <w:r>
              <w:rPr>
                <w:noProof/>
                <w:sz w:val="20"/>
              </w:rPr>
              <w:t>3</w:t>
            </w:r>
            <w:r>
              <w:rPr>
                <w:sz w:val="20"/>
              </w:rPr>
              <w:t xml:space="preserve"> - </w:t>
            </w:r>
            <w:r>
              <w:rPr>
                <w:noProof/>
                <w:sz w:val="20"/>
              </w:rPr>
              <w:t>an analysis of balancing support for demand and supply of ICT should have been conducted;</w:t>
            </w:r>
          </w:p>
        </w:tc>
        <w:tc>
          <w:tcPr/>
          <w:p w:rsidR="008D5009" w:rsidRPr="00DC028E" w:rsidP="00426349">
            <w:pPr>
              <w:spacing w:before="0" w:after="0"/>
              <w:jc w:val="center"/>
              <w:rPr>
                <w:sz w:val="20"/>
              </w:rPr>
            </w:pPr>
            <w:r>
              <w:rPr>
                <w:noProof/>
                <w:sz w:val="20"/>
              </w:rPr>
              <w:t>Yes</w:t>
            </w:r>
          </w:p>
        </w:tc>
        <w:tc>
          <w:tcPr/>
          <w:p w:rsidR="008D5009" w:rsidRPr="00E9348A" w:rsidP="00426349">
            <w:pPr>
              <w:spacing w:before="0" w:after="0"/>
              <w:rPr>
                <w:sz w:val="20"/>
                <w:szCs w:val="20"/>
              </w:rPr>
            </w:pPr>
            <w:r>
              <w:rPr>
                <w:rFonts w:ascii="Times New Roman" w:eastAsia="Times New Roman" w:hAnsi="Times New Roman" w:cs="Times New Roman"/>
              </w:rPr>
              <w:t xml:space="preserve">http://www.mcsi.ro/Transparenta-decizionala/Proiecte-2014 </w:t>
            </w:r>
          </w:p>
        </w:tc>
        <w:tc>
          <w:tcPr/>
          <w:p w:rsidR="008D5009" w:rsidRPr="00E9348A" w:rsidP="00426349">
            <w:pPr>
              <w:spacing w:before="0" w:after="0"/>
              <w:rPr>
                <w:sz w:val="20"/>
                <w:szCs w:val="20"/>
              </w:rPr>
            </w:pPr>
            <w:r w:rsidRPr="00E9348A">
              <w:rPr>
                <w:noProof/>
                <w:sz w:val="20"/>
                <w:szCs w:val="20"/>
              </w:rPr>
              <w:t>Strategia Națională Agenda Digitală pentru România oferă informații privind cererea și oferta de TIC.</w:t>
            </w: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 growth: A strategic policy framework for digital growth to stimulate affordable, good quality and interoperable ICT enabled private and public services and increase uptake by citizens, including vulnerable groups, businesses and public administrations including cross border initiatives.</w:t>
            </w:r>
          </w:p>
        </w:tc>
        <w:tc>
          <w:tcPr/>
          <w:p w:rsidR="008D5009" w:rsidRPr="00DC028E" w:rsidP="00426349">
            <w:pPr>
              <w:spacing w:before="0" w:after="0"/>
              <w:rPr>
                <w:sz w:val="20"/>
              </w:rPr>
            </w:pPr>
            <w:r>
              <w:rPr>
                <w:noProof/>
                <w:sz w:val="20"/>
              </w:rPr>
              <w:t>4</w:t>
            </w:r>
            <w:r>
              <w:rPr>
                <w:sz w:val="20"/>
              </w:rPr>
              <w:t xml:space="preserve"> - </w:t>
            </w:r>
            <w:r>
              <w:rPr>
                <w:noProof/>
                <w:sz w:val="20"/>
              </w:rPr>
              <w:t>indicators to measure progress of interventions in areas such as digital literacy, e-inclusion, e-accessibility, and progress of e-health within the limits of Article 168 TFEU which are aligned, where appropriate, with existing relevant sectoral Union, national or regional strategies;</w:t>
            </w:r>
          </w:p>
        </w:tc>
        <w:tc>
          <w:tcPr/>
          <w:p w:rsidR="008D5009" w:rsidRPr="00DC028E" w:rsidP="00426349">
            <w:pPr>
              <w:spacing w:before="0" w:after="0"/>
              <w:jc w:val="center"/>
              <w:rPr>
                <w:sz w:val="20"/>
              </w:rPr>
            </w:pPr>
            <w:r>
              <w:rPr>
                <w:noProof/>
                <w:sz w:val="20"/>
              </w:rPr>
              <w:t>No</w:t>
            </w:r>
          </w:p>
        </w:tc>
        <w:tc>
          <w:tcPr/>
          <w:p w:rsidR="008D5009" w:rsidRPr="00E9348A" w:rsidP="00426349">
            <w:pPr>
              <w:spacing w:before="0" w:after="0"/>
              <w:rPr>
                <w:sz w:val="20"/>
                <w:szCs w:val="20"/>
              </w:rPr>
            </w:pPr>
            <w:r>
              <w:rPr>
                <w:rFonts w:ascii="Times New Roman" w:eastAsia="Times New Roman" w:hAnsi="Times New Roman" w:cs="Times New Roman"/>
              </w:rPr>
              <w:t xml:space="preserve">http://www.mcsi.ro/Transparenta-decizionala/Proiecte-2014 </w:t>
            </w:r>
          </w:p>
        </w:tc>
        <w:tc>
          <w:tcPr/>
          <w:p w:rsidR="008D5009" w:rsidRPr="00E9348A" w:rsidP="00426349">
            <w:pPr>
              <w:spacing w:before="0" w:after="0"/>
              <w:rPr>
                <w:sz w:val="20"/>
                <w:szCs w:val="20"/>
              </w:rPr>
            </w:pPr>
            <w:r w:rsidRPr="00E9348A">
              <w:rPr>
                <w:noProof/>
                <w:sz w:val="20"/>
                <w:szCs w:val="20"/>
              </w:rPr>
              <w:t>Pentru monitorizarea implementării  SNADR va fi elaborat un Manual de Monitorizare și Evaluare.</w:t>
            </w: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02.1</w:t>
            </w:r>
            <w:r w:rsidRPr="00E9348A">
              <w:rPr>
                <w:sz w:val="20"/>
                <w:szCs w:val="20"/>
              </w:rPr>
              <w:t xml:space="preserve"> </w:t>
            </w:r>
            <w:r>
              <w:rPr>
                <w:sz w:val="20"/>
                <w:szCs w:val="20"/>
              </w:rPr>
              <w:t xml:space="preserve">-  </w:t>
            </w:r>
            <w:r w:rsidRPr="00E9348A">
              <w:rPr>
                <w:noProof/>
                <w:sz w:val="20"/>
                <w:szCs w:val="20"/>
              </w:rPr>
              <w:t>Digital growth: A strategic policy framework for digital growth to stimulate affordable, good quality and interoperable ICT enabled private and public services and increase uptake by citizens, including vulnerable groups, businesses and public administrations including cross border initiatives.</w:t>
            </w:r>
          </w:p>
        </w:tc>
        <w:tc>
          <w:tcPr/>
          <w:p w:rsidR="008D5009" w:rsidRPr="00DC028E" w:rsidP="00426349">
            <w:pPr>
              <w:spacing w:before="0" w:after="0"/>
              <w:rPr>
                <w:sz w:val="20"/>
              </w:rPr>
            </w:pPr>
            <w:r>
              <w:rPr>
                <w:noProof/>
                <w:sz w:val="20"/>
              </w:rPr>
              <w:t>5</w:t>
            </w:r>
            <w:r>
              <w:rPr>
                <w:sz w:val="20"/>
              </w:rPr>
              <w:t xml:space="preserve"> - </w:t>
            </w:r>
            <w:r>
              <w:rPr>
                <w:noProof/>
                <w:sz w:val="20"/>
              </w:rPr>
              <w:t>assessment of needs to reinforce ICT capacity-building.</w:t>
            </w:r>
          </w:p>
        </w:tc>
        <w:tc>
          <w:tcPr/>
          <w:p w:rsidR="008D5009" w:rsidRPr="00DC028E" w:rsidP="00426349">
            <w:pPr>
              <w:spacing w:before="0" w:after="0"/>
              <w:jc w:val="center"/>
              <w:rPr>
                <w:sz w:val="20"/>
              </w:rPr>
            </w:pPr>
            <w:r>
              <w:rPr>
                <w:noProof/>
                <w:sz w:val="20"/>
              </w:rPr>
              <w:t>No</w:t>
            </w:r>
          </w:p>
        </w:tc>
        <w:tc>
          <w:tcPr/>
          <w:p w:rsidR="008D5009" w:rsidRPr="00E9348A" w:rsidP="00426349">
            <w:pPr>
              <w:spacing w:before="0" w:after="0"/>
              <w:rPr>
                <w:sz w:val="20"/>
                <w:szCs w:val="20"/>
              </w:rPr>
            </w:pPr>
            <w:r>
              <w:rPr>
                <w:rFonts w:ascii="Times New Roman" w:eastAsia="Times New Roman" w:hAnsi="Times New Roman" w:cs="Times New Roman"/>
              </w:rPr>
              <w:t xml:space="preserve">http://www.mcsi.ro/Transparenta-decizionala/Proiecte-2014 </w:t>
            </w:r>
          </w:p>
        </w:tc>
        <w:tc>
          <w:tcPr/>
          <w:p w:rsidR="008D5009" w:rsidRPr="00E9348A" w:rsidP="00426349">
            <w:pPr>
              <w:spacing w:before="0" w:after="0"/>
              <w:rPr>
                <w:sz w:val="20"/>
                <w:szCs w:val="20"/>
              </w:rPr>
            </w:pPr>
            <w:r w:rsidRPr="00E9348A">
              <w:rPr>
                <w:noProof/>
                <w:sz w:val="20"/>
                <w:szCs w:val="20"/>
              </w:rPr>
              <w:t>Analiza capacității administrative a MSI, inclusiv din perspectiva implementării SNADR și a identificării de soluții de buna guvernanță va fi realizata în baza unor proiecte finanțate prin PO Capacitate Administrativă 2014-2020 si cu sprijinul Bancii Mondiale</w:t>
            </w: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Next Generation Network (NGN) Infrastructure: The existence of national or regional NGN Plans which take account of regional actions in order to reach the Union high speed Internet access targets, focusing on areas where the market fails to provide an open infrastructure at an affordable cost and of a quality in line with the Union competition and State aid rules, and to provide accessible services to vulnerable groups.</w:t>
            </w:r>
          </w:p>
        </w:tc>
        <w:tc>
          <w:tcPr/>
          <w:p w:rsidR="008D5009" w:rsidRPr="00DC028E" w:rsidP="00426349">
            <w:pPr>
              <w:spacing w:before="0" w:after="0"/>
              <w:rPr>
                <w:sz w:val="20"/>
              </w:rPr>
            </w:pPr>
            <w:r>
              <w:rPr>
                <w:noProof/>
                <w:sz w:val="20"/>
              </w:rPr>
              <w:t>1</w:t>
            </w:r>
            <w:r>
              <w:rPr>
                <w:sz w:val="20"/>
              </w:rPr>
              <w:t xml:space="preserve"> - </w:t>
            </w:r>
            <w:r>
              <w:rPr>
                <w:noProof/>
                <w:sz w:val="20"/>
              </w:rPr>
              <w:t>A national or regional NGN Plan is in place that contains:</w:t>
            </w:r>
          </w:p>
        </w:tc>
        <w:tc>
          <w:tcPr/>
          <w:p w:rsidR="008D5009" w:rsidRPr="00DC028E" w:rsidP="00426349">
            <w:pPr>
              <w:spacing w:before="0" w:after="0"/>
              <w:jc w:val="center"/>
              <w:rPr>
                <w:sz w:val="20"/>
              </w:rPr>
            </w:pPr>
            <w:r>
              <w:rPr>
                <w:noProof/>
                <w:sz w:val="20"/>
              </w:rPr>
              <w:t>No</w:t>
            </w:r>
          </w:p>
        </w:tc>
        <w:tc>
          <w:tcPr/>
          <w:p w:rsidR="008D5009" w:rsidRPr="00E9348A" w:rsidP="00426349">
            <w:pPr>
              <w:spacing w:before="0" w:after="0"/>
              <w:rPr>
                <w:sz w:val="20"/>
                <w:szCs w:val="20"/>
              </w:rPr>
            </w:pPr>
            <w:r>
              <w:rPr>
                <w:rFonts w:ascii="Times New Roman" w:eastAsia="Times New Roman" w:hAnsi="Times New Roman" w:cs="Times New Roman"/>
              </w:rPr>
              <w:t xml:space="preserve">http://www.mcsi.ro/Transparenta-decizionala/Proiecte-2014 </w:t>
            </w:r>
          </w:p>
        </w:tc>
        <w:tc>
          <w:tcPr/>
          <w:p w:rsidR="008D5009" w:rsidRPr="00E9348A" w:rsidP="00426349">
            <w:pPr>
              <w:spacing w:before="0" w:after="0"/>
              <w:rPr>
                <w:sz w:val="20"/>
                <w:szCs w:val="20"/>
              </w:rPr>
            </w:pPr>
            <w:r w:rsidRPr="00E9348A">
              <w:rPr>
                <w:noProof/>
                <w:sz w:val="20"/>
                <w:szCs w:val="20"/>
              </w:rPr>
              <w:t xml:space="preserve">Proiectul Planului National pentru Dezvoltarea infrastructurii NGN (Next Generation Networks) integrează recomandările CE, precum si rezultatele consultărilor parteneriale cu actorii relevanți din domeniu. </w:t>
            </w:r>
          </w:p>
          <w:p w:rsidR="008D5009" w:rsidRPr="00E9348A" w:rsidP="00426349">
            <w:pPr>
              <w:spacing w:before="0" w:after="0"/>
              <w:rPr>
                <w:sz w:val="20"/>
                <w:szCs w:val="20"/>
              </w:rPr>
            </w:pPr>
            <w:r w:rsidRPr="00E9348A">
              <w:rPr>
                <w:noProof/>
                <w:sz w:val="20"/>
                <w:szCs w:val="20"/>
              </w:rPr>
              <w:t>Planul este in curs de adoptare de către Guvern.</w:t>
            </w:r>
          </w:p>
          <w:p w:rsidR="008D5009" w:rsidRPr="00E9348A" w:rsidP="00426349">
            <w:pPr>
              <w:spacing w:before="0" w:after="0"/>
              <w:rPr>
                <w:sz w:val="20"/>
                <w:szCs w:val="20"/>
              </w:rPr>
            </w:pP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Next Generation Network (NGN) Infrastructure: The existence of national or regional NGN Plans which take account of regional actions in order to reach the Union high speed Internet access targets, focusing on areas where the market fails to provide an open infrastructure at an affordable cost and of a quality in line with the Union competition and State aid rules, and to provide accessible services to vulnerable groups.</w:t>
            </w:r>
          </w:p>
        </w:tc>
        <w:tc>
          <w:tcPr/>
          <w:p w:rsidR="008D5009" w:rsidRPr="00DC028E" w:rsidP="00426349">
            <w:pPr>
              <w:spacing w:before="0" w:after="0"/>
              <w:rPr>
                <w:sz w:val="20"/>
              </w:rPr>
            </w:pPr>
            <w:r>
              <w:rPr>
                <w:noProof/>
                <w:sz w:val="20"/>
              </w:rPr>
              <w:t>2</w:t>
            </w:r>
            <w:r>
              <w:rPr>
                <w:sz w:val="20"/>
              </w:rPr>
              <w:t xml:space="preserve"> - </w:t>
            </w:r>
            <w:r>
              <w:rPr>
                <w:noProof/>
                <w:sz w:val="20"/>
              </w:rPr>
              <w:t>a plan of infrastructure investments based on an economic analysis taking account of existing private and public infrastructures and planned investments;</w:t>
            </w:r>
          </w:p>
        </w:tc>
        <w:tc>
          <w:tcPr/>
          <w:p w:rsidR="008D5009" w:rsidRPr="00DC028E" w:rsidP="00426349">
            <w:pPr>
              <w:spacing w:before="0" w:after="0"/>
              <w:jc w:val="center"/>
              <w:rPr>
                <w:sz w:val="20"/>
              </w:rPr>
            </w:pPr>
            <w:r>
              <w:rPr>
                <w:noProof/>
                <w:sz w:val="20"/>
              </w:rPr>
              <w:t>No</w:t>
            </w:r>
          </w:p>
        </w:tc>
        <w:tc>
          <w:tcPr/>
          <w:p w:rsidR="008D5009" w:rsidRPr="00E9348A" w:rsidP="00426349">
            <w:pPr>
              <w:spacing w:before="0" w:after="0"/>
              <w:rPr>
                <w:sz w:val="20"/>
                <w:szCs w:val="20"/>
              </w:rPr>
            </w:pPr>
            <w:r>
              <w:rPr>
                <w:rFonts w:ascii="Times New Roman" w:eastAsia="Times New Roman" w:hAnsi="Times New Roman" w:cs="Times New Roman"/>
              </w:rPr>
              <w:t xml:space="preserve">http://www.mcsi.ro/Transparenta-decizionala/Proiecte-2014 </w:t>
            </w:r>
          </w:p>
        </w:tc>
        <w:tc>
          <w:tcPr/>
          <w:p w:rsidR="008D5009" w:rsidRPr="00E9348A" w:rsidP="00426349">
            <w:pPr>
              <w:spacing w:before="0" w:after="0"/>
              <w:rPr>
                <w:sz w:val="20"/>
                <w:szCs w:val="20"/>
              </w:rPr>
            </w:pPr>
            <w:r w:rsidRPr="00E9348A">
              <w:rPr>
                <w:noProof/>
                <w:sz w:val="20"/>
                <w:szCs w:val="20"/>
              </w:rPr>
              <w:t>Planul National pentru Dezvoltarea infrastucturii NGN (Next Generation Networks) conține Planul de investitii in infrastructura NGN.</w:t>
            </w:r>
          </w:p>
          <w:p w:rsidR="008D5009" w:rsidRPr="00E9348A" w:rsidP="00426349">
            <w:pPr>
              <w:spacing w:before="0" w:after="0"/>
              <w:rPr>
                <w:sz w:val="20"/>
                <w:szCs w:val="20"/>
              </w:rPr>
            </w:pPr>
            <w:r w:rsidRPr="00E9348A">
              <w:rPr>
                <w:noProof/>
                <w:sz w:val="20"/>
                <w:szCs w:val="20"/>
              </w:rPr>
              <w:t>Lista investitiilor va fi stabilita in urma finalizarii hartii privind infrastructura de comunicatii electronice, in curs de realizare, si a procesului de prioritizare</w:t>
            </w:r>
          </w:p>
          <w:p w:rsidR="008D5009" w:rsidRPr="00E9348A" w:rsidP="00426349">
            <w:pPr>
              <w:spacing w:before="0" w:after="0"/>
              <w:rPr>
                <w:sz w:val="20"/>
                <w:szCs w:val="20"/>
              </w:rPr>
            </w:pP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Next Generation Network (NGN) Infrastructure: The existence of national or regional NGN Plans which take account of regional actions in order to reach the Union high speed Internet access targets, focusing on areas where the market fails to provide an open infrastructure at an affordable cost and of a quality in line with the Union competition and State aid rules, and to provide accessible services to vulnerable groups.</w:t>
            </w:r>
          </w:p>
        </w:tc>
        <w:tc>
          <w:tcPr/>
          <w:p w:rsidR="008D5009" w:rsidRPr="00DC028E" w:rsidP="00426349">
            <w:pPr>
              <w:spacing w:before="0" w:after="0"/>
              <w:rPr>
                <w:sz w:val="20"/>
              </w:rPr>
            </w:pPr>
            <w:r>
              <w:rPr>
                <w:noProof/>
                <w:sz w:val="20"/>
              </w:rPr>
              <w:t>3</w:t>
            </w:r>
            <w:r>
              <w:rPr>
                <w:sz w:val="20"/>
              </w:rPr>
              <w:t xml:space="preserve"> - </w:t>
            </w:r>
            <w:r>
              <w:rPr>
                <w:noProof/>
                <w:sz w:val="20"/>
              </w:rPr>
              <w:t>sustainable investment models that enhance competition and provide access to open, affordable, quality and future-proof infrastructure and services;</w:t>
            </w:r>
          </w:p>
        </w:tc>
        <w:tc>
          <w:tcPr/>
          <w:p w:rsidR="008D5009" w:rsidRPr="00DC028E" w:rsidP="00426349">
            <w:pPr>
              <w:spacing w:before="0" w:after="0"/>
              <w:jc w:val="center"/>
              <w:rPr>
                <w:sz w:val="20"/>
              </w:rPr>
            </w:pPr>
            <w:r>
              <w:rPr>
                <w:noProof/>
                <w:sz w:val="20"/>
              </w:rPr>
              <w:t>Yes</w:t>
            </w:r>
          </w:p>
        </w:tc>
        <w:tc>
          <w:tcPr/>
          <w:p w:rsidR="008D5009" w:rsidRPr="00E9348A" w:rsidP="00426349">
            <w:pPr>
              <w:spacing w:before="0" w:after="0"/>
              <w:rPr>
                <w:sz w:val="20"/>
                <w:szCs w:val="20"/>
              </w:rPr>
            </w:pPr>
            <w:r>
              <w:rPr>
                <w:rFonts w:ascii="Times New Roman" w:eastAsia="Times New Roman" w:hAnsi="Times New Roman" w:cs="Times New Roman"/>
              </w:rPr>
              <w:t xml:space="preserve">http://www.mcsi.ro/Transparenta-decizionala/Proiecte-2014 </w:t>
            </w:r>
          </w:p>
        </w:tc>
        <w:tc>
          <w:tcPr/>
          <w:p w:rsidR="008D5009" w:rsidRPr="00E9348A" w:rsidP="00426349">
            <w:pPr>
              <w:spacing w:before="0" w:after="0"/>
              <w:rPr>
                <w:sz w:val="20"/>
                <w:szCs w:val="20"/>
              </w:rPr>
            </w:pPr>
            <w:r w:rsidRPr="00E9348A">
              <w:rPr>
                <w:noProof/>
                <w:sz w:val="20"/>
                <w:szCs w:val="20"/>
              </w:rPr>
              <w:t>Planul National pentru Dezvoltarea infrastucturii NGN (Next Generation Networks) include  Modele de investiții durabile.</w:t>
            </w: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T</w:t>
            </w:r>
            <w:r w:rsidRPr="00E9348A">
              <w:rPr>
                <w:sz w:val="20"/>
                <w:szCs w:val="20"/>
              </w:rPr>
              <w:t>.</w:t>
            </w:r>
            <w:r w:rsidRPr="00E9348A">
              <w:rPr>
                <w:noProof/>
                <w:sz w:val="20"/>
                <w:szCs w:val="20"/>
              </w:rPr>
              <w:t>02.2</w:t>
            </w:r>
            <w:r w:rsidRPr="00E9348A">
              <w:rPr>
                <w:sz w:val="20"/>
                <w:szCs w:val="20"/>
              </w:rPr>
              <w:t xml:space="preserve"> </w:t>
            </w:r>
            <w:r>
              <w:rPr>
                <w:sz w:val="20"/>
                <w:szCs w:val="20"/>
              </w:rPr>
              <w:t xml:space="preserve">-  </w:t>
            </w:r>
            <w:r w:rsidRPr="00E9348A">
              <w:rPr>
                <w:noProof/>
                <w:sz w:val="20"/>
                <w:szCs w:val="20"/>
              </w:rPr>
              <w:t>Next Generation Network (NGN) Infrastructure: The existence of national or regional NGN Plans which take account of regional actions in order to reach the Union high speed Internet access targets, focusing on areas where the market fails to provide an open infrastructure at an affordable cost and of a quality in line with the Union competition and State aid rules, and to provide accessible services to vulnerable groups.</w:t>
            </w:r>
          </w:p>
        </w:tc>
        <w:tc>
          <w:tcPr/>
          <w:p w:rsidR="008D5009" w:rsidRPr="00DC028E" w:rsidP="00426349">
            <w:pPr>
              <w:spacing w:before="0" w:after="0"/>
              <w:rPr>
                <w:sz w:val="20"/>
              </w:rPr>
            </w:pPr>
            <w:r>
              <w:rPr>
                <w:noProof/>
                <w:sz w:val="20"/>
              </w:rPr>
              <w:t>4</w:t>
            </w:r>
            <w:r>
              <w:rPr>
                <w:sz w:val="20"/>
              </w:rPr>
              <w:t xml:space="preserve"> - </w:t>
            </w:r>
            <w:r>
              <w:rPr>
                <w:noProof/>
                <w:sz w:val="20"/>
              </w:rPr>
              <w:t>measures to stimulate private investment.</w:t>
            </w:r>
          </w:p>
        </w:tc>
        <w:tc>
          <w:tcPr/>
          <w:p w:rsidR="008D5009" w:rsidRPr="00DC028E" w:rsidP="00426349">
            <w:pPr>
              <w:spacing w:before="0" w:after="0"/>
              <w:jc w:val="center"/>
              <w:rPr>
                <w:sz w:val="20"/>
              </w:rPr>
            </w:pPr>
            <w:r>
              <w:rPr>
                <w:noProof/>
                <w:sz w:val="20"/>
              </w:rPr>
              <w:t>Yes</w:t>
            </w:r>
          </w:p>
        </w:tc>
        <w:tc>
          <w:tcPr/>
          <w:p w:rsidR="008D5009" w:rsidRPr="00E9348A" w:rsidP="00426349">
            <w:pPr>
              <w:spacing w:before="0" w:after="0"/>
              <w:rPr>
                <w:sz w:val="20"/>
                <w:szCs w:val="20"/>
              </w:rPr>
            </w:pPr>
            <w:r>
              <w:rPr>
                <w:rFonts w:ascii="Times New Roman" w:eastAsia="Times New Roman" w:hAnsi="Times New Roman" w:cs="Times New Roman"/>
              </w:rPr>
              <w:t xml:space="preserve">http://www.mcsi.ro/Transparenta-decizionala/Proiecte-2014 </w:t>
            </w:r>
          </w:p>
        </w:tc>
        <w:tc>
          <w:tcPr/>
          <w:p w:rsidR="008D5009" w:rsidRPr="00E9348A" w:rsidP="00426349">
            <w:pPr>
              <w:spacing w:before="0" w:after="0"/>
              <w:rPr>
                <w:sz w:val="20"/>
                <w:szCs w:val="20"/>
              </w:rPr>
            </w:pPr>
            <w:r w:rsidRPr="00E9348A">
              <w:rPr>
                <w:noProof/>
                <w:sz w:val="20"/>
                <w:szCs w:val="20"/>
              </w:rPr>
              <w:t>Planul National pentru Dezvoltarea infrastucturii NGN (Next Generation Networks) include Masuri de stimulare a investitiilor private in infrastructura NGN.</w:t>
            </w: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The existence of arrangements for the effective application of Union public procurement law in the field of the ESI Funds.</w:t>
            </w:r>
          </w:p>
        </w:tc>
        <w:tc>
          <w:tcPr/>
          <w:p w:rsidR="008D5009" w:rsidRPr="00DC028E" w:rsidP="00426349">
            <w:pPr>
              <w:spacing w:before="0" w:after="0"/>
              <w:rPr>
                <w:sz w:val="20"/>
              </w:rPr>
            </w:pPr>
            <w:r>
              <w:rPr>
                <w:noProof/>
                <w:sz w:val="20"/>
              </w:rPr>
              <w:t>1</w:t>
            </w:r>
            <w:r>
              <w:rPr>
                <w:sz w:val="20"/>
              </w:rPr>
              <w:t xml:space="preserve"> - </w:t>
            </w:r>
            <w:r>
              <w:rPr>
                <w:noProof/>
                <w:sz w:val="20"/>
              </w:rPr>
              <w:t>Arrangements for the effective application of Union public procurement rules through appropriate mechanisms.</w:t>
            </w:r>
          </w:p>
        </w:tc>
        <w:tc>
          <w:tcPr/>
          <w:p w:rsidR="008D5009" w:rsidRPr="00DC028E" w:rsidP="00426349">
            <w:pPr>
              <w:spacing w:before="0" w:after="0"/>
              <w:jc w:val="center"/>
              <w:rPr>
                <w:sz w:val="20"/>
              </w:rPr>
            </w:pPr>
            <w:r>
              <w:rPr>
                <w:noProof/>
                <w:sz w:val="20"/>
              </w:rPr>
              <w:t>No</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Cadrul legislativ național privind achizițiile publice este complet armonizat cu acquis-ul comunitar (OUG nr. 34/2006, HG nr. 925/2006, legislație de nivel terțiar). Prevederile legislative au fost detaliate în protocoale între AM-uri, ANRMAP și UCVAP, care au fost revizuite sub coordonarea MFE, pentru a defini mecanismul de cooperare și feedback, momentul și amploarea verificărilor făcute de fiecare instituție și termenele limită procedurale. Prin memorandum guvernamental a fost instituit mecanismul pentru identificarea ex-ante a conflictului de interese care prevede acordarea către ANI a tuturor competențelor necesare verificării conflictului de interese la procedurile de atribuire a contractelor de achiziții publice. Prin memorandum au fost stabilite liste de verificare care asigură identificarea neregulilor la nivel orizontal din procesul de achiziții publice. OUG 66/2011 stabilește corecțiile ce trebuie aplicate în caz de nereguli.</w:t>
            </w:r>
          </w:p>
          <w:p w:rsidR="008D5009" w:rsidRPr="00E9348A" w:rsidP="00426349">
            <w:pPr>
              <w:spacing w:before="0" w:after="0"/>
              <w:rPr>
                <w:sz w:val="20"/>
                <w:szCs w:val="20"/>
              </w:rPr>
            </w:pPr>
          </w:p>
          <w:p w:rsidR="008D5009" w:rsidRPr="00E9348A" w:rsidP="00426349">
            <w:pPr>
              <w:spacing w:before="0" w:after="0"/>
              <w:rPr>
                <w:sz w:val="20"/>
                <w:szCs w:val="20"/>
              </w:rPr>
            </w:pPr>
            <w:r w:rsidRPr="00E9348A">
              <w:rPr>
                <w:noProof/>
                <w:sz w:val="20"/>
                <w:szCs w:val="20"/>
              </w:rPr>
              <w:t>Prin memorandum au fost stabilite liste de veri</w:t>
            </w: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The existence of arrangements for the effective application of Union public procurement law in the field of the ESI Funds.</w:t>
            </w:r>
          </w:p>
        </w:tc>
        <w:tc>
          <w:tcPr/>
          <w:p w:rsidR="008D5009" w:rsidRPr="00DC028E" w:rsidP="00426349">
            <w:pPr>
              <w:spacing w:before="0" w:after="0"/>
              <w:rPr>
                <w:sz w:val="20"/>
              </w:rPr>
            </w:pPr>
            <w:r>
              <w:rPr>
                <w:noProof/>
                <w:sz w:val="20"/>
              </w:rPr>
              <w:t>2</w:t>
            </w:r>
            <w:r>
              <w:rPr>
                <w:sz w:val="20"/>
              </w:rPr>
              <w:t xml:space="preserve"> - </w:t>
            </w:r>
            <w:r>
              <w:rPr>
                <w:noProof/>
                <w:sz w:val="20"/>
              </w:rPr>
              <w:t>Arrangements which ensure transparent contract award procedures.</w:t>
            </w:r>
          </w:p>
        </w:tc>
        <w:tc>
          <w:tcPr/>
          <w:p w:rsidR="008D5009" w:rsidRPr="00DC028E" w:rsidP="00426349">
            <w:pPr>
              <w:spacing w:before="0" w:after="0"/>
              <w:jc w:val="center"/>
              <w:rPr>
                <w:sz w:val="20"/>
              </w:rPr>
            </w:pPr>
            <w:r>
              <w:rPr>
                <w:noProof/>
                <w:sz w:val="20"/>
              </w:rPr>
              <w:t>No</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 xml:space="preserve">OUG 34/2006 care reglementează domeniul achiziţiilor publice stabileşte principiile care stau la baza atribuirii contractelor de achiziții publice: nediscriminarea, tratamentul egal; recunoașterea reciprocă; transparența, proporționalitatea; eficiența utilizării fondurilor publice și asumarea răspunderii. Verificările ex-ante realizate de ANRMAP/UCVAP asigură îndrumare pentru autoritățile contractante. Redactarea documentelor de licitaţie şi evaluarea de oferte se face de către autoritatea contractantă cu respectarea legislaţiei terţiare, evitându-se apariția situaţiilor identificate de către Comisia Europeană/AA. SEAP este actualizat constant conform modificărilor legislative și este gestionat de MSI, acesta conţinând toate invitaţiile pentru depunerea de oferte cu o valoare estimată mai mică decât pragul specificat în directivele UE. Pentru achiziţiile directe cu o valoare mai mare de 5000 € sunt trimise notificări în sistem de către autoritățile contractante www.e-licitatie.ro </w:t>
            </w:r>
          </w:p>
          <w:p w:rsidR="008D5009" w:rsidRPr="00E9348A" w:rsidP="00426349">
            <w:pPr>
              <w:spacing w:before="0" w:after="0"/>
              <w:rPr>
                <w:sz w:val="20"/>
                <w:szCs w:val="20"/>
              </w:rPr>
            </w:pPr>
            <w:r w:rsidRPr="00E9348A">
              <w:rPr>
                <w:noProof/>
                <w:sz w:val="20"/>
                <w:szCs w:val="20"/>
              </w:rPr>
              <w:t>Pent</w:t>
            </w: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The existence of arrangements for the effective application of Union public procurement law in the field of the ESI Funds.</w:t>
            </w:r>
          </w:p>
        </w:tc>
        <w:tc>
          <w:tcPr/>
          <w:p w:rsidR="008D5009" w:rsidRPr="00DC028E" w:rsidP="00426349">
            <w:pPr>
              <w:spacing w:before="0" w:after="0"/>
              <w:rPr>
                <w:sz w:val="20"/>
              </w:rPr>
            </w:pPr>
            <w:r>
              <w:rPr>
                <w:noProof/>
                <w:sz w:val="20"/>
              </w:rPr>
              <w:t>3</w:t>
            </w:r>
            <w:r>
              <w:rPr>
                <w:sz w:val="20"/>
              </w:rPr>
              <w:t xml:space="preserve"> - </w:t>
            </w:r>
            <w:r>
              <w:rPr>
                <w:noProof/>
                <w:sz w:val="20"/>
              </w:rPr>
              <w:t>Arrangements for training and dissemination of information for staff involved in the implementation of the ESI funds.</w:t>
            </w:r>
          </w:p>
        </w:tc>
        <w:tc>
          <w:tcPr/>
          <w:p w:rsidR="008D5009" w:rsidRPr="00DC028E" w:rsidP="00426349">
            <w:pPr>
              <w:spacing w:before="0" w:after="0"/>
              <w:jc w:val="center"/>
              <w:rPr>
                <w:sz w:val="20"/>
              </w:rPr>
            </w:pPr>
            <w:r>
              <w:rPr>
                <w:noProof/>
                <w:sz w:val="20"/>
              </w:rPr>
              <w:t>No</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S-au organizat sesiuni de formare pentru personalul implicat în aplicarea legislației UE privind achizițiile publice la toate nivelurile relevante (AM-uri, OI-uri, AC, AA și beneficiari). Proiectul „Sprijin pentru personalul implicat în gestionarea instrumentelor structurale pentru a optimiza sistemul de achiziții publice” asigură diseminarea și schimbul de informații privind domeniul achizițiilor publice si organizarea de grupuri de lucru comune (ANRMAP, UCVAP, MFE, ACP, AA și AM-uri). Proiectul „Instruire aplicată pentru continuarea întăririi capacității instituționale a administrației publice din România pentru o gestionare eficientă a fondurilor structurale” va furniza programe de formare în gestionarea instrumentelor structurale și a achizițiilor publice pentru toate organismele implicate în aplicarea normelor privind achizițiile publice în domeniul fondurilor ESI. SEAP oferă informații pentru tot personalul care aplică normele UE privind achizițiile publice.</w:t>
            </w:r>
          </w:p>
          <w:p w:rsidR="008D5009" w:rsidRPr="00E9348A" w:rsidP="00426349">
            <w:pPr>
              <w:spacing w:before="0" w:after="0"/>
              <w:rPr>
                <w:sz w:val="20"/>
                <w:szCs w:val="20"/>
              </w:rPr>
            </w:pPr>
            <w:r w:rsidRPr="00E9348A">
              <w:rPr>
                <w:noProof/>
                <w:sz w:val="20"/>
                <w:szCs w:val="20"/>
              </w:rPr>
              <w:t>SEAP oferă informații</w:t>
            </w: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4</w:t>
            </w:r>
            <w:r w:rsidRPr="00E9348A">
              <w:rPr>
                <w:sz w:val="20"/>
                <w:szCs w:val="20"/>
              </w:rPr>
              <w:t xml:space="preserve"> </w:t>
            </w:r>
            <w:r>
              <w:rPr>
                <w:sz w:val="20"/>
                <w:szCs w:val="20"/>
              </w:rPr>
              <w:t xml:space="preserve">-  </w:t>
            </w:r>
            <w:r w:rsidRPr="00E9348A">
              <w:rPr>
                <w:noProof/>
                <w:sz w:val="20"/>
                <w:szCs w:val="20"/>
              </w:rPr>
              <w:t>The existence of arrangements for the effective application of Union public procurement law in the field of the ESI Funds.</w:t>
            </w:r>
          </w:p>
        </w:tc>
        <w:tc>
          <w:tcPr/>
          <w:p w:rsidR="008D5009" w:rsidRPr="00DC028E" w:rsidP="00426349">
            <w:pPr>
              <w:spacing w:before="0" w:after="0"/>
              <w:rPr>
                <w:sz w:val="20"/>
              </w:rPr>
            </w:pPr>
            <w:r>
              <w:rPr>
                <w:noProof/>
                <w:sz w:val="20"/>
              </w:rPr>
              <w:t>4</w:t>
            </w:r>
            <w:r>
              <w:rPr>
                <w:sz w:val="20"/>
              </w:rPr>
              <w:t xml:space="preserve"> - </w:t>
            </w:r>
            <w:r>
              <w:rPr>
                <w:noProof/>
                <w:sz w:val="20"/>
              </w:rPr>
              <w:t>Arrangements to ensure administrative capacity for implementation and application of Union public procurement rules.</w:t>
            </w:r>
          </w:p>
        </w:tc>
        <w:tc>
          <w:tcPr/>
          <w:p w:rsidR="008D5009" w:rsidRPr="00DC028E" w:rsidP="00426349">
            <w:pPr>
              <w:spacing w:before="0" w:after="0"/>
              <w:jc w:val="center"/>
              <w:rPr>
                <w:sz w:val="20"/>
              </w:rPr>
            </w:pPr>
            <w:r>
              <w:rPr>
                <w:noProof/>
                <w:sz w:val="20"/>
              </w:rPr>
              <w:t>No</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Autoritatea Națională pentru Reglementarea și Monitorizarea Achizițiilor Publice (ANRMAP) are un rol fundamental în elaborarea, promovarea și aplicarea politicii de achiziții publice. Ministerul Fondurilor Europene a elaborat un Ghid privind principalele riscuri în domeniul achizițiilor publice. Ghidul se bazează pe recomandările Comisiei Europene emise în urma misiunilor de audit. Acest ghid ajută beneficiarii să evite greșelile în acest domeniu. În prezent este în vigoare o documentație standardizată pentru proiectele de infrastructură (sectorul mediului și al transportului), folosită de către Autoritățile Contractante. http://www.anrmap.ro/documente.</w:t>
            </w: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The existence of arrangements for the effective application of Union State aid rules in the field of the ESI Funds.</w:t>
            </w:r>
          </w:p>
        </w:tc>
        <w:tc>
          <w:tcPr/>
          <w:p w:rsidR="008D5009" w:rsidRPr="00DC028E" w:rsidP="00426349">
            <w:pPr>
              <w:spacing w:before="0" w:after="0"/>
              <w:rPr>
                <w:sz w:val="20"/>
              </w:rPr>
            </w:pPr>
            <w:r>
              <w:rPr>
                <w:noProof/>
                <w:sz w:val="20"/>
              </w:rPr>
              <w:t>1</w:t>
            </w:r>
            <w:r>
              <w:rPr>
                <w:sz w:val="20"/>
              </w:rPr>
              <w:t xml:space="preserve"> - </w:t>
            </w:r>
            <w:r>
              <w:rPr>
                <w:noProof/>
                <w:sz w:val="20"/>
              </w:rPr>
              <w:t>Arrangements for the effective application of Union State aid rules.</w:t>
            </w:r>
          </w:p>
        </w:tc>
        <w:tc>
          <w:tcPr/>
          <w:p w:rsidR="008D5009" w:rsidRPr="00DC028E" w:rsidP="00426349">
            <w:pPr>
              <w:spacing w:before="0" w:after="0"/>
              <w:jc w:val="center"/>
              <w:rPr>
                <w:sz w:val="20"/>
              </w:rPr>
            </w:pPr>
            <w:r>
              <w:rPr>
                <w:noProof/>
                <w:sz w:val="20"/>
              </w:rPr>
              <w:t>No</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Începând cu 1 ianuarie 2007 legislația ajutorului de stat este direct aplicabila în România. La nivel național Consiliul Concurentei (CC), instituție independenta, îndeplinește rolul de punct de contact în domeniul ajutorului de stat intre autoritățile române și Comisia Europeana (potrivit OUG nr. 77/2014 privind procedurile naţionale în domeniul ajutorului de stat, precum şi pentru modificarea şi completarea Legii concurenţei nr. 21/1996), asigurând respectarea legislației ajutorului de stat la nivel național.</w:t>
            </w:r>
          </w:p>
          <w:p w:rsidR="008D5009" w:rsidRPr="00E9348A" w:rsidP="00426349">
            <w:pPr>
              <w:spacing w:before="0" w:after="0"/>
              <w:rPr>
                <w:sz w:val="20"/>
                <w:szCs w:val="20"/>
              </w:rPr>
            </w:pPr>
            <w:r w:rsidRPr="00E9348A">
              <w:rPr>
                <w:noProof/>
                <w:sz w:val="20"/>
                <w:szCs w:val="20"/>
              </w:rPr>
              <w:t>Pentru asigurarea respectării regulii cumulului CC este responsabil cu instituirea unei baze de date care cuprinde toate ajutoarele de stat/ajutoarele de minimis acordate la nivel național (atât din fonduri europene, cât și din fonduri naționale).</w:t>
            </w: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The existence of arrangements for the effective application of Union State aid rules in the field of the ESI Funds.</w:t>
            </w:r>
          </w:p>
        </w:tc>
        <w:tc>
          <w:tcPr/>
          <w:p w:rsidR="008D5009" w:rsidRPr="00DC028E" w:rsidP="00426349">
            <w:pPr>
              <w:spacing w:before="0" w:after="0"/>
              <w:rPr>
                <w:sz w:val="20"/>
              </w:rPr>
            </w:pPr>
            <w:r>
              <w:rPr>
                <w:noProof/>
                <w:sz w:val="20"/>
              </w:rPr>
              <w:t>2</w:t>
            </w:r>
            <w:r>
              <w:rPr>
                <w:sz w:val="20"/>
              </w:rPr>
              <w:t xml:space="preserve"> - </w:t>
            </w:r>
            <w:r>
              <w:rPr>
                <w:noProof/>
                <w:sz w:val="20"/>
              </w:rPr>
              <w:t>Arrangements for training and dissemination of information for staff involved in the implementation of the ESI funds.</w:t>
            </w:r>
          </w:p>
        </w:tc>
        <w:tc>
          <w:tcPr/>
          <w:p w:rsidR="008D5009" w:rsidRPr="00DC028E" w:rsidP="00426349">
            <w:pPr>
              <w:spacing w:before="0" w:after="0"/>
              <w:jc w:val="center"/>
              <w:rPr>
                <w:sz w:val="20"/>
              </w:rPr>
            </w:pPr>
            <w:r>
              <w:rPr>
                <w:noProof/>
                <w:sz w:val="20"/>
              </w:rPr>
              <w:t>Yes</w:t>
            </w:r>
          </w:p>
        </w:tc>
        <w:tc>
          <w:tcPr/>
          <w:p w:rsidR="008D5009" w:rsidRPr="00E9348A" w:rsidP="00426349">
            <w:pPr>
              <w:spacing w:before="0" w:after="0"/>
              <w:rPr>
                <w:sz w:val="20"/>
                <w:szCs w:val="20"/>
              </w:rPr>
            </w:pPr>
            <w:r>
              <w:rPr>
                <w:rFonts w:ascii="Times New Roman" w:eastAsia="Times New Roman" w:hAnsi="Times New Roman" w:cs="Times New Roman"/>
              </w:rPr>
              <w:t xml:space="preserve">www.renascc.eu www.ajutordestat.ro www.ajutordestat.eu  </w:t>
            </w:r>
          </w:p>
        </w:tc>
        <w:tc>
          <w:tcPr/>
          <w:p w:rsidR="008D5009" w:rsidRPr="00E9348A" w:rsidP="00426349">
            <w:pPr>
              <w:spacing w:before="0" w:after="0"/>
              <w:rPr>
                <w:sz w:val="20"/>
                <w:szCs w:val="20"/>
              </w:rPr>
            </w:pPr>
            <w:r w:rsidRPr="00E9348A">
              <w:rPr>
                <w:noProof/>
                <w:sz w:val="20"/>
                <w:szCs w:val="20"/>
              </w:rPr>
              <w:t>Incepand cu 1 ianuarie 2007 legislatia ajutorului de stat este direct aplicabila in Romania. La nivel national Consiliul Concurentei (CC), institutie independenta, indeplineste rolul de punct de contact in domeniul ajutorului de stat intre autoritatile romane si Comisia Europeana (potrivit OUG nr. 77/2014 privind procedurile naţionale în domeniul ajutorului de stat, precum şi pentru modificarea şi completarea Legii concurenţei nr. 21/1996).</w:t>
            </w:r>
          </w:p>
          <w:p w:rsidR="008D5009" w:rsidRPr="00E9348A" w:rsidP="00426349">
            <w:pPr>
              <w:spacing w:before="0" w:after="0"/>
              <w:rPr>
                <w:sz w:val="20"/>
                <w:szCs w:val="20"/>
              </w:rPr>
            </w:pPr>
            <w:r w:rsidRPr="00E9348A">
              <w:rPr>
                <w:noProof/>
                <w:sz w:val="20"/>
                <w:szCs w:val="20"/>
              </w:rPr>
              <w:t>De asemenea, experți în domeniul ajutorului de stat din cadrul CC sunt implicati in grupul de lucru pentru elaborarea PO, oferind expertilor din cadrul AM asistenta de specialitatea in identificarea elementelor de ajutor de stat specifice programului, incadrarea acestora pe regulamentele de ajutor de stat aplicabile, precum si in elaborarea propriu-zisa a schemelor de ajutor de stat. Personalul dinn cadrul sistemului de gestionare FESI a beneficiat de cursuri de formare profesională pe ajutor de stat.</w:t>
            </w: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5</w:t>
            </w:r>
            <w:r w:rsidRPr="00E9348A">
              <w:rPr>
                <w:sz w:val="20"/>
                <w:szCs w:val="20"/>
              </w:rPr>
              <w:t xml:space="preserve"> </w:t>
            </w:r>
            <w:r>
              <w:rPr>
                <w:sz w:val="20"/>
                <w:szCs w:val="20"/>
              </w:rPr>
              <w:t xml:space="preserve">-  </w:t>
            </w:r>
            <w:r w:rsidRPr="00E9348A">
              <w:rPr>
                <w:noProof/>
                <w:sz w:val="20"/>
                <w:szCs w:val="20"/>
              </w:rPr>
              <w:t>The existence of arrangements for the effective application of Union State aid rules in the field of the ESI Funds.</w:t>
            </w:r>
          </w:p>
        </w:tc>
        <w:tc>
          <w:tcPr/>
          <w:p w:rsidR="008D5009" w:rsidRPr="00DC028E" w:rsidP="00426349">
            <w:pPr>
              <w:spacing w:before="0" w:after="0"/>
              <w:rPr>
                <w:sz w:val="20"/>
              </w:rPr>
            </w:pPr>
            <w:r>
              <w:rPr>
                <w:noProof/>
                <w:sz w:val="20"/>
              </w:rPr>
              <w:t>3</w:t>
            </w:r>
            <w:r>
              <w:rPr>
                <w:sz w:val="20"/>
              </w:rPr>
              <w:t xml:space="preserve"> - </w:t>
            </w:r>
            <w:r>
              <w:rPr>
                <w:noProof/>
                <w:sz w:val="20"/>
              </w:rPr>
              <w:t>Arrangements to ensure administrative capacity for implementation and application of Union State aid rules.</w:t>
            </w:r>
          </w:p>
        </w:tc>
        <w:tc>
          <w:tcPr/>
          <w:p w:rsidR="008D5009" w:rsidRPr="00DC028E" w:rsidP="00426349">
            <w:pPr>
              <w:spacing w:before="0" w:after="0"/>
              <w:jc w:val="center"/>
              <w:rPr>
                <w:sz w:val="20"/>
              </w:rPr>
            </w:pPr>
            <w:r>
              <w:rPr>
                <w:noProof/>
                <w:sz w:val="20"/>
              </w:rPr>
              <w:t>Yes</w:t>
            </w:r>
          </w:p>
        </w:tc>
        <w:tc>
          <w:tcPr/>
          <w:p w:rsidR="008D5009" w:rsidRPr="00E9348A" w:rsidP="00426349">
            <w:pPr>
              <w:spacing w:before="0" w:after="0"/>
              <w:rPr>
                <w:sz w:val="20"/>
                <w:szCs w:val="20"/>
              </w:rPr>
            </w:pPr>
            <w:r>
              <w:rPr>
                <w:rFonts w:ascii="Times New Roman" w:eastAsia="Times New Roman" w:hAnsi="Times New Roman" w:cs="Times New Roman"/>
              </w:rPr>
              <w:t xml:space="preserve">www.renascc.eu www.ajutordestat.ro www.ajutordestat.eu  </w:t>
            </w:r>
          </w:p>
        </w:tc>
        <w:tc>
          <w:tcPr/>
          <w:p w:rsidR="008D5009" w:rsidRPr="00E9348A" w:rsidP="00426349">
            <w:pPr>
              <w:spacing w:before="0" w:after="0"/>
              <w:rPr>
                <w:sz w:val="20"/>
                <w:szCs w:val="20"/>
              </w:rPr>
            </w:pPr>
            <w:r w:rsidRPr="00E9348A">
              <w:rPr>
                <w:noProof/>
                <w:sz w:val="20"/>
                <w:szCs w:val="20"/>
              </w:rPr>
              <w:t>CC este organismul central care asigura la nivel national respectarea regulilor ajutorului de stat potrivit OUG nr. 77/2014 privind procedurile naţionale în domeniul ajutorului de stat, precum şi pentru modificarea şi completarea Legii concurenţei nr. 21/1996. Totodata, CC ofera asistenta din punct de vedere legal si practic privind aplicabilitatea legislatiei ajutorului de stat in programele operationale. CC are capacitatea administrativa necesara indeplinirii obligatiilor sale legate ajutoarele de stat acordate la nivel national (atat din fonduri europene,cat si din fonduri dela bugetul de stat).</w:t>
            </w: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The existence of a statistical basis necessary to undertake evaluations to assess the effectiveness and impact of the programmes. The existence of a system of result indicators necessary to select actions, which most effectively contribute to desired results, to monitor progress towards results and to undertake impact evaluation.</w:t>
            </w:r>
          </w:p>
        </w:tc>
        <w:tc>
          <w:tcPr/>
          <w:p w:rsidR="008D5009" w:rsidRPr="00DC028E" w:rsidP="00426349">
            <w:pPr>
              <w:spacing w:before="0" w:after="0"/>
              <w:rPr>
                <w:sz w:val="20"/>
              </w:rPr>
            </w:pPr>
            <w:r>
              <w:rPr>
                <w:noProof/>
                <w:sz w:val="20"/>
              </w:rPr>
              <w:t>1</w:t>
            </w:r>
            <w:r>
              <w:rPr>
                <w:sz w:val="20"/>
              </w:rPr>
              <w:t xml:space="preserve"> - </w:t>
            </w:r>
            <w:r>
              <w:rPr>
                <w:noProof/>
                <w:sz w:val="20"/>
              </w:rPr>
              <w:t>Arrangements for timely collection and aggregation of statistical data with the following elements are in place: the identification of sources and mechanisms to ensure statistical validation.</w:t>
            </w:r>
          </w:p>
        </w:tc>
        <w:tc>
          <w:tcPr/>
          <w:p w:rsidR="008D5009" w:rsidRPr="00DC028E" w:rsidP="00426349">
            <w:pPr>
              <w:spacing w:before="0" w:after="0"/>
              <w:jc w:val="center"/>
              <w:rPr>
                <w:sz w:val="20"/>
              </w:rPr>
            </w:pPr>
            <w:r>
              <w:rPr>
                <w:noProof/>
                <w:sz w:val="20"/>
              </w:rPr>
              <w:t>No</w:t>
            </w:r>
          </w:p>
        </w:tc>
        <w:tc>
          <w:tcPr/>
          <w:p w:rsidR="008D5009" w:rsidRPr="00E9348A" w:rsidP="00426349">
            <w:pPr>
              <w:spacing w:before="0" w:after="0"/>
              <w:rPr>
                <w:sz w:val="20"/>
                <w:szCs w:val="20"/>
              </w:rPr>
            </w:pPr>
            <w:r>
              <w:rPr>
                <w:rFonts w:ascii="Times New Roman" w:eastAsia="Times New Roman" w:hAnsi="Times New Roman" w:cs="Times New Roman"/>
              </w:rPr>
              <w:t xml:space="preserve">http://www.fonduri-ue.ro/propunerea-oficiala-a-acordului-de-parteneriat-2014-2020  Raport de evaluare a sistemelor electronice (se poate face disponibil la cerere) Front-office: https://www.mysmis.ro/ Documentația tehnică aferentă SMIS/MYSMIS: Proceduri de realizare a copiilor de siguranta ale bazei de date SMIS, Proceduri de recuperare a sistemului informatic SMIS (de furnizat la cerere) http://www.dataprotection.ro/?page=legislatie_primara </w:t>
            </w:r>
          </w:p>
        </w:tc>
        <w:tc>
          <w:tcPr/>
          <w:p w:rsidR="008D5009" w:rsidRPr="00E9348A" w:rsidP="00426349">
            <w:pPr>
              <w:spacing w:before="0" w:after="0"/>
              <w:rPr>
                <w:sz w:val="20"/>
                <w:szCs w:val="20"/>
              </w:rPr>
            </w:pPr>
            <w:r w:rsidRPr="00E9348A">
              <w:rPr>
                <w:noProof/>
                <w:sz w:val="20"/>
                <w:szCs w:val="20"/>
              </w:rPr>
              <w:t>Capitolul 4.1 al Acordului de</w:t>
            </w:r>
          </w:p>
          <w:p w:rsidR="008D5009" w:rsidRPr="00E9348A" w:rsidP="00426349">
            <w:pPr>
              <w:spacing w:before="0" w:after="0"/>
              <w:rPr>
                <w:sz w:val="20"/>
                <w:szCs w:val="20"/>
              </w:rPr>
            </w:pPr>
            <w:r w:rsidRPr="00E9348A">
              <w:rPr>
                <w:noProof/>
                <w:sz w:val="20"/>
                <w:szCs w:val="20"/>
              </w:rPr>
              <w:t>Parteneriat furnizează informații</w:t>
            </w:r>
          </w:p>
          <w:p w:rsidR="008D5009" w:rsidRPr="00E9348A" w:rsidP="00426349">
            <w:pPr>
              <w:spacing w:before="0" w:after="0"/>
              <w:rPr>
                <w:sz w:val="20"/>
                <w:szCs w:val="20"/>
              </w:rPr>
            </w:pPr>
            <w:r w:rsidRPr="00E9348A">
              <w:rPr>
                <w:noProof/>
                <w:sz w:val="20"/>
                <w:szCs w:val="20"/>
              </w:rPr>
              <w:t>privind sistemele electronice existente și acțiunile planificate pentru a permite gradual schimbul de informații între beneficiari și autoritățile responsabile de managementul și controlul fondurilor. Astfel, aranjamentele de colectare, stocare, prevenire a coruperii/pierderii și protecție a datelor, precum și locația de păstrare a acestora sunt deja realizate, fiind necesare doar ajustări la cerințele adiționale ale Regulamentului delegat (UE) nr. 480/2014.</w:t>
            </w:r>
          </w:p>
          <w:p w:rsidR="008D5009" w:rsidRPr="00E9348A" w:rsidP="00426349">
            <w:pPr>
              <w:spacing w:before="0" w:after="0"/>
              <w:rPr>
                <w:sz w:val="20"/>
                <w:szCs w:val="20"/>
              </w:rPr>
            </w:pPr>
            <w:r w:rsidRPr="00E9348A">
              <w:rPr>
                <w:noProof/>
                <w:sz w:val="20"/>
                <w:szCs w:val="20"/>
              </w:rPr>
              <w:t>În POC sunt stabilite sursa datelor și frecvența raportării pentru fiecare indicator de realizare și de rezultat.</w:t>
            </w:r>
          </w:p>
          <w:p w:rsidR="008D5009" w:rsidRPr="00E9348A" w:rsidP="00426349">
            <w:pPr>
              <w:spacing w:before="0" w:after="0"/>
              <w:rPr>
                <w:sz w:val="20"/>
                <w:szCs w:val="20"/>
              </w:rPr>
            </w:pPr>
            <w:r w:rsidRPr="00E9348A">
              <w:rPr>
                <w:noProof/>
                <w:sz w:val="20"/>
                <w:szCs w:val="20"/>
              </w:rPr>
              <w:t>Pentru îndeplinirea în totalitate a criteriului este necesară stabilirea</w:t>
            </w:r>
          </w:p>
          <w:p w:rsidR="008D5009" w:rsidRPr="00E9348A" w:rsidP="00426349">
            <w:pPr>
              <w:spacing w:before="0" w:after="0"/>
              <w:rPr>
                <w:sz w:val="20"/>
                <w:szCs w:val="20"/>
              </w:rPr>
            </w:pPr>
            <w:r w:rsidRPr="00E9348A">
              <w:rPr>
                <w:noProof/>
                <w:sz w:val="20"/>
                <w:szCs w:val="20"/>
              </w:rPr>
              <w:t>organismelor responsabile pentru colectarea datelor de la sursa de date, a resurselor umane aferente, a termenelor de colectare a datelor, a conținutului datelor și a modalităților de procesare a acestora.</w:t>
            </w:r>
          </w:p>
          <w:p w:rsidR="008D5009" w:rsidRPr="00E9348A" w:rsidP="00426349">
            <w:pPr>
              <w:spacing w:before="0" w:after="0"/>
              <w:rPr>
                <w:sz w:val="20"/>
                <w:szCs w:val="20"/>
              </w:rPr>
            </w:pP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The existence of a statistical basis necessary to undertake evaluations to assess the effectiveness and impact of the programmes. The existence of a system of result indicators necessary to select actions, which most effectively contribute to desired results, to monitor progress towards results and to undertake impact evaluation.</w:t>
            </w:r>
          </w:p>
        </w:tc>
        <w:tc>
          <w:tcPr/>
          <w:p w:rsidR="008D5009" w:rsidRPr="00DC028E" w:rsidP="00426349">
            <w:pPr>
              <w:spacing w:before="0" w:after="0"/>
              <w:rPr>
                <w:sz w:val="20"/>
              </w:rPr>
            </w:pPr>
            <w:r>
              <w:rPr>
                <w:noProof/>
                <w:sz w:val="20"/>
              </w:rPr>
              <w:t>2</w:t>
            </w:r>
            <w:r>
              <w:rPr>
                <w:sz w:val="20"/>
              </w:rPr>
              <w:t xml:space="preserve"> - </w:t>
            </w:r>
            <w:r>
              <w:rPr>
                <w:noProof/>
                <w:sz w:val="20"/>
              </w:rPr>
              <w:t>Arrangements for timely collection and aggregation of statistical data with the following elements are in place: arrangements for publication and public availability of aggregated data.</w:t>
            </w:r>
          </w:p>
        </w:tc>
        <w:tc>
          <w:tcPr/>
          <w:p w:rsidR="008D5009" w:rsidRPr="00DC028E" w:rsidP="00426349">
            <w:pPr>
              <w:spacing w:before="0" w:after="0"/>
              <w:jc w:val="center"/>
              <w:rPr>
                <w:sz w:val="20"/>
              </w:rPr>
            </w:pPr>
            <w:r>
              <w:rPr>
                <w:noProof/>
                <w:sz w:val="20"/>
              </w:rPr>
              <w:t>No</w:t>
            </w:r>
          </w:p>
        </w:tc>
        <w:tc>
          <w:tcPr/>
          <w:p w:rsidR="008D5009" w:rsidRPr="00E9348A" w:rsidP="00426349">
            <w:pPr>
              <w:spacing w:before="0" w:after="0"/>
              <w:rPr>
                <w:sz w:val="20"/>
                <w:szCs w:val="20"/>
              </w:rPr>
            </w:pPr>
            <w:r>
              <w:rPr>
                <w:rFonts w:ascii="Times New Roman" w:eastAsia="Times New Roman" w:hAnsi="Times New Roman" w:cs="Times New Roman"/>
              </w:rPr>
              <w:t xml:space="preserve">http://www.fonduri-ue.ro/documente-suport/rapoarte/rapoarte-poscce </w:t>
            </w:r>
          </w:p>
        </w:tc>
        <w:tc>
          <w:tcPr/>
          <w:p w:rsidR="008D5009" w:rsidRPr="00E9348A" w:rsidP="00426349">
            <w:pPr>
              <w:spacing w:before="0" w:after="0"/>
              <w:rPr>
                <w:sz w:val="20"/>
                <w:szCs w:val="20"/>
              </w:rPr>
            </w:pPr>
            <w:r w:rsidRPr="00E9348A">
              <w:rPr>
                <w:noProof/>
                <w:sz w:val="20"/>
                <w:szCs w:val="20"/>
              </w:rPr>
              <w:t>Rapoartele anuale de implementare aferente POSCCE 2007-2013 sunt disponibile publicului pe website-ul oficial al Ministerului Fondurilor Europene</w:t>
            </w:r>
          </w:p>
          <w:p w:rsidR="008D5009" w:rsidRPr="00E9348A" w:rsidP="00426349">
            <w:pPr>
              <w:spacing w:before="0" w:after="0"/>
              <w:rPr>
                <w:sz w:val="20"/>
                <w:szCs w:val="20"/>
              </w:rPr>
            </w:pPr>
            <w:r w:rsidRPr="00E9348A">
              <w:rPr>
                <w:noProof/>
                <w:sz w:val="20"/>
                <w:szCs w:val="20"/>
              </w:rPr>
              <w:t>Este necesară stabilirea măsurilor pentru publicarea datelor agregate.</w:t>
            </w:r>
          </w:p>
          <w:p w:rsidR="008D5009" w:rsidRPr="00E9348A" w:rsidP="00426349">
            <w:pPr>
              <w:spacing w:before="0" w:after="0"/>
              <w:rPr>
                <w:sz w:val="20"/>
                <w:szCs w:val="20"/>
              </w:rPr>
            </w:pP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The existence of a statistical basis necessary to undertake evaluations to assess the effectiveness and impact of the programmes. The existence of a system of result indicators necessary to select actions, which most effectively contribute to desired results, to monitor progress towards results and to undertake impact evaluation.</w:t>
            </w:r>
          </w:p>
        </w:tc>
        <w:tc>
          <w:tcPr/>
          <w:p w:rsidR="008D5009" w:rsidRPr="00DC028E" w:rsidP="00426349">
            <w:pPr>
              <w:spacing w:before="0" w:after="0"/>
              <w:rPr>
                <w:sz w:val="20"/>
              </w:rPr>
            </w:pPr>
            <w:r>
              <w:rPr>
                <w:noProof/>
                <w:sz w:val="20"/>
              </w:rPr>
              <w:t>3</w:t>
            </w:r>
            <w:r>
              <w:rPr>
                <w:sz w:val="20"/>
              </w:rPr>
              <w:t xml:space="preserve"> - </w:t>
            </w:r>
            <w:r>
              <w:rPr>
                <w:noProof/>
                <w:sz w:val="20"/>
              </w:rPr>
              <w:t>An effective system of result indicators including: the selection of result indicators for each programme providing information on what motivates the selection of policy actions financed by the programme.</w:t>
            </w:r>
          </w:p>
        </w:tc>
        <w:tc>
          <w:tcPr/>
          <w:p w:rsidR="008D5009" w:rsidRPr="00DC028E" w:rsidP="00426349">
            <w:pPr>
              <w:spacing w:before="0" w:after="0"/>
              <w:jc w:val="center"/>
              <w:rPr>
                <w:sz w:val="20"/>
              </w:rPr>
            </w:pPr>
            <w:r>
              <w:rPr>
                <w:noProof/>
                <w:sz w:val="20"/>
              </w:rPr>
              <w:t>Yes</w:t>
            </w:r>
          </w:p>
        </w:tc>
        <w:tc>
          <w:tcPr/>
          <w:p w:rsidR="008D5009" w:rsidRPr="00E9348A" w:rsidP="00426349">
            <w:pPr>
              <w:spacing w:before="0" w:after="0"/>
              <w:rPr>
                <w:sz w:val="20"/>
                <w:szCs w:val="20"/>
              </w:rPr>
            </w:pPr>
            <w:r>
              <w:rPr>
                <w:rFonts w:ascii="Times New Roman" w:eastAsia="Times New Roman" w:hAnsi="Times New Roman" w:cs="Times New Roman"/>
              </w:rPr>
              <w:t xml:space="preserve">Raportul de evaluare ex-ante transmis prin SFC 2014 ca anexă la POC. </w:t>
            </w:r>
          </w:p>
        </w:tc>
        <w:tc>
          <w:tcPr/>
          <w:p w:rsidR="008D5009" w:rsidRPr="00E9348A" w:rsidP="00426349">
            <w:pPr>
              <w:spacing w:before="0" w:after="0"/>
              <w:rPr>
                <w:sz w:val="20"/>
                <w:szCs w:val="20"/>
              </w:rPr>
            </w:pPr>
            <w:r w:rsidRPr="00E9348A">
              <w:rPr>
                <w:noProof/>
                <w:sz w:val="20"/>
                <w:szCs w:val="20"/>
              </w:rPr>
              <w:t>În POC au fost selectați indicatori de rezultat relevanți, care au fost analizați în raportul de evaluare ex-ante prin prisma măsurii în care indicatorii de rezultat acoperă  obiectivele specifice, precum și a clarității și relevanței indicatorilor de rezultat .</w:t>
            </w: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The existence of a statistical basis necessary to undertake evaluations to assess the effectiveness and impact of the programmes. The existence of a system of result indicators necessary to select actions, which most effectively contribute to desired results, to monitor progress towards results and to undertake impact evaluation.</w:t>
            </w:r>
          </w:p>
        </w:tc>
        <w:tc>
          <w:tcPr/>
          <w:p w:rsidR="008D5009" w:rsidRPr="00DC028E" w:rsidP="00426349">
            <w:pPr>
              <w:spacing w:before="0" w:after="0"/>
              <w:rPr>
                <w:sz w:val="20"/>
              </w:rPr>
            </w:pPr>
            <w:r>
              <w:rPr>
                <w:noProof/>
                <w:sz w:val="20"/>
              </w:rPr>
              <w:t>4</w:t>
            </w:r>
            <w:r>
              <w:rPr>
                <w:sz w:val="20"/>
              </w:rPr>
              <w:t xml:space="preserve"> - </w:t>
            </w:r>
            <w:r>
              <w:rPr>
                <w:noProof/>
                <w:sz w:val="20"/>
              </w:rPr>
              <w:t>An effective system of result indicators including: the establishment of targets for these indicators.</w:t>
            </w:r>
          </w:p>
        </w:tc>
        <w:tc>
          <w:tcPr/>
          <w:p w:rsidR="008D5009" w:rsidRPr="00DC028E" w:rsidP="00426349">
            <w:pPr>
              <w:spacing w:before="0" w:after="0"/>
              <w:jc w:val="center"/>
              <w:rPr>
                <w:sz w:val="20"/>
              </w:rPr>
            </w:pPr>
            <w:r>
              <w:rPr>
                <w:noProof/>
                <w:sz w:val="20"/>
              </w:rPr>
              <w:t>No</w:t>
            </w:r>
          </w:p>
        </w:tc>
        <w:tc>
          <w:tcPr/>
          <w:p w:rsidR="008D5009" w:rsidRPr="00E9348A" w:rsidP="00426349">
            <w:pPr>
              <w:spacing w:before="0" w:after="0"/>
              <w:rPr>
                <w:sz w:val="20"/>
                <w:szCs w:val="20"/>
              </w:rPr>
            </w:pPr>
            <w:r>
              <w:rPr>
                <w:rFonts w:ascii="Times New Roman" w:eastAsia="Times New Roman" w:hAnsi="Times New Roman" w:cs="Times New Roman"/>
              </w:rPr>
              <w:t xml:space="preserve">Raportul de evaluare ex-ante transmis prin SFC 2014 ca anexă la POC. </w:t>
            </w:r>
          </w:p>
        </w:tc>
        <w:tc>
          <w:tcPr/>
          <w:p w:rsidR="008D5009" w:rsidRPr="00E9348A" w:rsidP="00426349">
            <w:pPr>
              <w:spacing w:before="0" w:after="0"/>
              <w:rPr>
                <w:sz w:val="20"/>
                <w:szCs w:val="20"/>
              </w:rPr>
            </w:pPr>
            <w:r w:rsidRPr="00E9348A">
              <w:rPr>
                <w:noProof/>
                <w:sz w:val="20"/>
                <w:szCs w:val="20"/>
              </w:rPr>
              <w:t>În POC au fost stabilite ținte pentru indicatorii de rezultat care au fost analizate în raportul de evaluare ex-ante prin prisma subcriteriilor privind relevanța, claritatea și plauzabilitatea indicatorilor .</w:t>
            </w:r>
          </w:p>
          <w:p w:rsidR="008D5009" w:rsidRPr="00E9348A" w:rsidP="00426349">
            <w:pPr>
              <w:spacing w:before="0" w:after="0"/>
              <w:rPr>
                <w:sz w:val="20"/>
                <w:szCs w:val="20"/>
              </w:rPr>
            </w:pPr>
            <w:r w:rsidRPr="00E9348A">
              <w:rPr>
                <w:noProof/>
                <w:sz w:val="20"/>
                <w:szCs w:val="20"/>
              </w:rPr>
              <w:t>Pentru o serie de indicatori de rezultat este încă necesară identificarea unor valori de bază luând în considerare intervențiile similare implementate în special prin POSCCE 2007-2013 și a căror eficacitate a fost măsurată prin alți indicatori decât cei prevăzuți în POC 2014-2020.</w:t>
            </w:r>
          </w:p>
          <w:p w:rsidR="008D5009" w:rsidRPr="00E9348A" w:rsidP="00426349">
            <w:pPr>
              <w:spacing w:before="0" w:after="0"/>
              <w:rPr>
                <w:sz w:val="20"/>
                <w:szCs w:val="20"/>
              </w:rPr>
            </w:pP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The existence of a statistical basis necessary to undertake evaluations to assess the effectiveness and impact of the programmes. The existence of a system of result indicators necessary to select actions, which most effectively contribute to desired results, to monitor progress towards results and to undertake impact evaluation.</w:t>
            </w:r>
          </w:p>
        </w:tc>
        <w:tc>
          <w:tcPr/>
          <w:p w:rsidR="008D5009" w:rsidRPr="00DC028E" w:rsidP="00426349">
            <w:pPr>
              <w:spacing w:before="0" w:after="0"/>
              <w:rPr>
                <w:sz w:val="20"/>
              </w:rPr>
            </w:pPr>
            <w:r>
              <w:rPr>
                <w:noProof/>
                <w:sz w:val="20"/>
              </w:rPr>
              <w:t>5</w:t>
            </w:r>
            <w:r>
              <w:rPr>
                <w:sz w:val="20"/>
              </w:rPr>
              <w:t xml:space="preserve"> - </w:t>
            </w:r>
            <w:r>
              <w:rPr>
                <w:noProof/>
                <w:sz w:val="20"/>
              </w:rPr>
              <w:t>An effective system of result indicators including: the consistency of each indicator with the following requisites: robustness and statistical validation, clarity of normative interpretation, responsiveness to policy, timely collection of data.</w:t>
            </w:r>
          </w:p>
        </w:tc>
        <w:tc>
          <w:tcPr/>
          <w:p w:rsidR="008D5009" w:rsidRPr="00DC028E" w:rsidP="00426349">
            <w:pPr>
              <w:spacing w:before="0" w:after="0"/>
              <w:jc w:val="center"/>
              <w:rPr>
                <w:sz w:val="20"/>
              </w:rPr>
            </w:pPr>
            <w:r>
              <w:rPr>
                <w:noProof/>
                <w:sz w:val="20"/>
              </w:rPr>
              <w:t>No</w:t>
            </w:r>
          </w:p>
        </w:tc>
        <w:tc>
          <w:tcPr/>
          <w:p w:rsidR="008D5009" w:rsidRPr="00E9348A" w:rsidP="00426349">
            <w:pPr>
              <w:spacing w:before="0" w:after="0"/>
              <w:rPr>
                <w:sz w:val="20"/>
                <w:szCs w:val="20"/>
              </w:rPr>
            </w:pPr>
            <w:r>
              <w:rPr>
                <w:rFonts w:ascii="Times New Roman" w:eastAsia="Times New Roman" w:hAnsi="Times New Roman" w:cs="Times New Roman"/>
              </w:rPr>
              <w:t xml:space="preserve">Raportul de evaluare ex-ante, transmis prin SFC 2014 ca anexă a POC  . </w:t>
            </w:r>
          </w:p>
        </w:tc>
        <w:tc>
          <w:tcPr/>
          <w:p w:rsidR="008D5009" w:rsidRPr="00E9348A" w:rsidP="00426349">
            <w:pPr>
              <w:spacing w:before="0" w:after="0"/>
              <w:rPr>
                <w:sz w:val="20"/>
                <w:szCs w:val="20"/>
              </w:rPr>
            </w:pPr>
            <w:r w:rsidRPr="00E9348A">
              <w:rPr>
                <w:noProof/>
                <w:sz w:val="20"/>
                <w:szCs w:val="20"/>
              </w:rPr>
              <w:t>În POC au fost stabiliți indicatori de rezultat care au fost analizați în raportul de evaluare ex-ante prin prisma subcriteriilor privind robustețea, validarea statistică, claritatea interpretării normative și senzitivitatea la intervențiile propuse.</w:t>
            </w:r>
          </w:p>
          <w:p w:rsidR="008D5009" w:rsidRPr="00E9348A" w:rsidP="00426349">
            <w:pPr>
              <w:spacing w:before="0" w:after="0"/>
              <w:rPr>
                <w:sz w:val="20"/>
                <w:szCs w:val="20"/>
              </w:rPr>
            </w:pPr>
            <w:r w:rsidRPr="00E9348A">
              <w:rPr>
                <w:noProof/>
                <w:sz w:val="20"/>
                <w:szCs w:val="20"/>
              </w:rPr>
              <w:t>Pentru o serie de indicatori de rezultat este încă necesară identificarea unor valori de bază luând în considerare intervențiile similare implementate în special prin POSCCE 2007-2013 și a căror eficacitate a fost măsurată prin alți indicatori decât cei prevăzuți în POC 2014-2020.</w:t>
            </w:r>
          </w:p>
          <w:p w:rsidR="008D5009" w:rsidRPr="00E9348A" w:rsidP="00426349">
            <w:pPr>
              <w:spacing w:before="0" w:after="0"/>
              <w:rPr>
                <w:sz w:val="20"/>
                <w:szCs w:val="20"/>
              </w:rPr>
            </w:pPr>
            <w:r w:rsidRPr="00E9348A">
              <w:rPr>
                <w:noProof/>
                <w:sz w:val="20"/>
                <w:szCs w:val="20"/>
              </w:rPr>
              <w:t>De asemenea, este necesară finalizarea procedurilor prin care se asigură că datele se colectează și agregă în timp util, astfel încât să servească necesităților de raportare.</w:t>
            </w:r>
          </w:p>
          <w:p w:rsidR="008D5009" w:rsidRPr="00E9348A" w:rsidP="00426349">
            <w:pPr>
              <w:spacing w:before="0" w:after="0"/>
              <w:rPr>
                <w:sz w:val="20"/>
                <w:szCs w:val="20"/>
              </w:rPr>
            </w:pPr>
          </w:p>
        </w:tc>
      </w:tr>
      <w:tr w:rsidTr="00426349">
        <w:tblPrEx>
          <w:tblW w:w="5000" w:type="pct"/>
          <w:tblLook w:val="0420"/>
        </w:tblPrEx>
        <w:trPr>
          <w:trHeight w:val="836"/>
        </w:trPr>
        <w:tc>
          <w:tcPr>
            <w:shd w:val="clear" w:color="auto" w:fill="auto"/>
          </w:tcPr>
          <w:p w:rsidR="008D5009" w:rsidRPr="00E9348A" w:rsidP="00426349">
            <w:pPr>
              <w:spacing w:before="0" w:after="0"/>
              <w:rPr>
                <w:sz w:val="20"/>
                <w:szCs w:val="20"/>
              </w:rPr>
            </w:pPr>
            <w:r w:rsidRPr="00E9348A">
              <w:rPr>
                <w:noProof/>
                <w:sz w:val="20"/>
                <w:szCs w:val="20"/>
              </w:rPr>
              <w:t>G</w:t>
            </w:r>
            <w:r w:rsidRPr="00E9348A">
              <w:rPr>
                <w:sz w:val="20"/>
                <w:szCs w:val="20"/>
              </w:rPr>
              <w:t>.</w:t>
            </w:r>
            <w:r w:rsidRPr="00E9348A">
              <w:rPr>
                <w:noProof/>
                <w:sz w:val="20"/>
                <w:szCs w:val="20"/>
              </w:rPr>
              <w:t>7</w:t>
            </w:r>
            <w:r w:rsidRPr="00E9348A">
              <w:rPr>
                <w:sz w:val="20"/>
                <w:szCs w:val="20"/>
              </w:rPr>
              <w:t xml:space="preserve"> </w:t>
            </w:r>
            <w:r>
              <w:rPr>
                <w:sz w:val="20"/>
                <w:szCs w:val="20"/>
              </w:rPr>
              <w:t xml:space="preserve">-  </w:t>
            </w:r>
            <w:r w:rsidRPr="00E9348A">
              <w:rPr>
                <w:noProof/>
                <w:sz w:val="20"/>
                <w:szCs w:val="20"/>
              </w:rPr>
              <w:t>The existence of a statistical basis necessary to undertake evaluations to assess the effectiveness and impact of the programmes. The existence of a system of result indicators necessary to select actions, which most effectively contribute to desired results, to monitor progress towards results and to undertake impact evaluation.</w:t>
            </w:r>
          </w:p>
        </w:tc>
        <w:tc>
          <w:tcPr/>
          <w:p w:rsidR="008D5009" w:rsidRPr="00DC028E" w:rsidP="00426349">
            <w:pPr>
              <w:spacing w:before="0" w:after="0"/>
              <w:rPr>
                <w:sz w:val="20"/>
              </w:rPr>
            </w:pPr>
            <w:r>
              <w:rPr>
                <w:noProof/>
                <w:sz w:val="20"/>
              </w:rPr>
              <w:t>6</w:t>
            </w:r>
            <w:r>
              <w:rPr>
                <w:sz w:val="20"/>
              </w:rPr>
              <w:t xml:space="preserve"> - </w:t>
            </w:r>
            <w:r>
              <w:rPr>
                <w:noProof/>
                <w:sz w:val="20"/>
              </w:rPr>
              <w:t>Procedures in place to ensure that all operations financed by the programme adopt an effective system of indicators.</w:t>
            </w:r>
          </w:p>
        </w:tc>
        <w:tc>
          <w:tcPr/>
          <w:p w:rsidR="008D5009" w:rsidRPr="00DC028E" w:rsidP="00426349">
            <w:pPr>
              <w:spacing w:before="0" w:after="0"/>
              <w:jc w:val="center"/>
              <w:rPr>
                <w:sz w:val="20"/>
              </w:rPr>
            </w:pPr>
            <w:r>
              <w:rPr>
                <w:noProof/>
                <w:sz w:val="20"/>
              </w:rPr>
              <w:t>No</w:t>
            </w:r>
          </w:p>
        </w:tc>
        <w:tc>
          <w:tcPr/>
          <w:p w:rsidR="008D5009" w:rsidRPr="00E9348A" w:rsidP="00426349">
            <w:pPr>
              <w:spacing w:before="0" w:after="0"/>
              <w:rPr>
                <w:sz w:val="20"/>
                <w:szCs w:val="20"/>
              </w:rPr>
            </w:pPr>
          </w:p>
        </w:tc>
        <w:tc>
          <w:tcPr/>
          <w:p w:rsidR="008D5009" w:rsidRPr="00E9348A" w:rsidP="00426349">
            <w:pPr>
              <w:spacing w:before="0" w:after="0"/>
              <w:rPr>
                <w:sz w:val="20"/>
                <w:szCs w:val="20"/>
              </w:rPr>
            </w:pPr>
            <w:r w:rsidRPr="00E9348A">
              <w:rPr>
                <w:noProof/>
                <w:sz w:val="20"/>
                <w:szCs w:val="20"/>
              </w:rPr>
              <w:t>Este necesară finalizarea procedurilor prin care se asigură că datele aferente proiectelor se colectează și agregă în timp util pentru a servi necesităților de raportare.</w:t>
            </w:r>
          </w:p>
          <w:p w:rsidR="008D5009" w:rsidRPr="00E9348A" w:rsidP="00426349">
            <w:pPr>
              <w:spacing w:before="0" w:after="0"/>
              <w:rPr>
                <w:sz w:val="20"/>
                <w:szCs w:val="20"/>
              </w:rPr>
            </w:pPr>
            <w:r w:rsidRPr="00E9348A">
              <w:rPr>
                <w:noProof/>
                <w:sz w:val="20"/>
                <w:szCs w:val="20"/>
              </w:rPr>
              <w:t>De asemenea, este necesară elaborarea planului de evaluare a POC care să identifice nevoile adiționale de date. Odată identificată această nevoie, vor fi stabilite procedurile/aranjamentele de colectare sau accesare a acestora.</w:t>
            </w:r>
          </w:p>
          <w:p w:rsidR="008D5009" w:rsidRPr="00E9348A" w:rsidP="00426349">
            <w:pPr>
              <w:spacing w:before="0" w:after="0"/>
              <w:rPr>
                <w:sz w:val="20"/>
                <w:szCs w:val="20"/>
              </w:rPr>
            </w:pPr>
          </w:p>
        </w:tc>
      </w:tr>
    </w:tbl>
    <w:p w:rsidR="008D5009" w:rsidRPr="00DC028E" w:rsidP="008D5009">
      <w:pPr>
        <w:spacing w:before="0" w:after="0"/>
      </w:pPr>
    </w:p>
    <w:p w:rsidR="008D5009" w:rsidP="008D5009">
      <w:pPr>
        <w:pStyle w:val="Heading2"/>
        <w:keepLines/>
        <w:numPr>
          <w:ilvl w:val="0"/>
          <w:numId w:val="0"/>
        </w:numPr>
        <w:spacing w:before="0" w:after="0"/>
        <w:ind w:left="850" w:hanging="850"/>
      </w:pPr>
      <w:bookmarkStart w:id="247" w:name="_Toc256000120"/>
      <w:r>
        <w:rPr>
          <w:noProof/>
        </w:rPr>
        <w:t>9.2 Description of actions to fulfil ex-ante conditionalities, responsible bodies and timetable</w:t>
      </w:r>
      <w:bookmarkEnd w:id="247"/>
    </w:p>
    <w:p w:rsidR="008D5009" w:rsidRPr="005367FC" w:rsidP="008D5009">
      <w:pPr>
        <w:pStyle w:val="Text1"/>
        <w:keepNext/>
        <w:keepLines/>
        <w:spacing w:before="0" w:after="0"/>
        <w:ind w:left="0"/>
      </w:pPr>
    </w:p>
    <w:p w:rsidR="008D5009" w:rsidRPr="00F221CE" w:rsidP="008D5009">
      <w:pPr>
        <w:keepNext/>
        <w:keepLines/>
        <w:spacing w:before="0" w:after="0"/>
        <w:rPr>
          <w:b/>
        </w:rPr>
      </w:pPr>
      <w:r>
        <w:rPr>
          <w:b/>
          <w:noProof/>
        </w:rPr>
        <w:t>Table 25: Actions to fulfil applicable general ex-ante conditionalities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257"/>
        <w:gridCol w:w="3171"/>
        <w:gridCol w:w="5141"/>
        <w:gridCol w:w="992"/>
        <w:gridCol w:w="121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493"/>
          <w:tblHeader/>
        </w:trPr>
        <w:tc>
          <w:tcPr>
            <w:shd w:val="clear" w:color="auto" w:fill="auto"/>
          </w:tcPr>
          <w:p w:rsidR="008D5009" w:rsidRPr="00B71360" w:rsidP="00426349">
            <w:pPr>
              <w:snapToGrid w:val="0"/>
              <w:spacing w:before="0" w:after="0"/>
              <w:jc w:val="center"/>
              <w:rPr>
                <w:b/>
                <w:color w:val="FF0000"/>
                <w:sz w:val="20"/>
                <w:szCs w:val="20"/>
              </w:rPr>
            </w:pPr>
            <w:r>
              <w:rPr>
                <w:b/>
                <w:noProof/>
                <w:sz w:val="20"/>
                <w:szCs w:val="20"/>
              </w:rPr>
              <w:t>General ex-ante conditionality</w:t>
            </w:r>
          </w:p>
        </w:tc>
        <w:tc>
          <w:tcPr/>
          <w:p w:rsidR="008D5009" w:rsidRPr="00B71360" w:rsidP="00426349">
            <w:pPr>
              <w:snapToGrid w:val="0"/>
              <w:spacing w:before="0" w:after="0"/>
              <w:jc w:val="center"/>
              <w:rPr>
                <w:b/>
                <w:color w:val="FF0000"/>
                <w:sz w:val="20"/>
                <w:szCs w:val="20"/>
              </w:rPr>
            </w:pPr>
            <w:r w:rsidRPr="00B71360">
              <w:rPr>
                <w:b/>
                <w:noProof/>
                <w:sz w:val="20"/>
                <w:szCs w:val="20"/>
              </w:rPr>
              <w:t>Criteria not fulfilled</w:t>
            </w:r>
          </w:p>
        </w:tc>
        <w:tc>
          <w:tcPr>
            <w:shd w:val="clear" w:color="auto" w:fill="auto"/>
          </w:tcPr>
          <w:p w:rsidR="008D5009" w:rsidRPr="00B71360" w:rsidP="00426349">
            <w:pPr>
              <w:snapToGrid w:val="0"/>
              <w:spacing w:before="0" w:after="0"/>
              <w:jc w:val="center"/>
              <w:rPr>
                <w:b/>
                <w:color w:val="FF0000"/>
                <w:sz w:val="20"/>
                <w:szCs w:val="20"/>
              </w:rPr>
            </w:pPr>
            <w:r w:rsidRPr="00B71360">
              <w:rPr>
                <w:b/>
                <w:noProof/>
                <w:sz w:val="20"/>
                <w:szCs w:val="20"/>
              </w:rPr>
              <w:t>Actions to be taken</w:t>
            </w:r>
          </w:p>
        </w:tc>
        <w:tc>
          <w:tcPr>
            <w:shd w:val="clear" w:color="auto" w:fill="auto"/>
          </w:tcPr>
          <w:p w:rsidR="008D5009" w:rsidRPr="00B71360" w:rsidP="00426349">
            <w:pPr>
              <w:snapToGrid w:val="0"/>
              <w:spacing w:before="0" w:after="0"/>
              <w:jc w:val="center"/>
              <w:rPr>
                <w:b/>
                <w:color w:val="FF0000"/>
                <w:sz w:val="20"/>
                <w:szCs w:val="20"/>
              </w:rPr>
            </w:pPr>
            <w:r w:rsidRPr="00B71360">
              <w:rPr>
                <w:b/>
                <w:noProof/>
                <w:sz w:val="20"/>
                <w:szCs w:val="20"/>
              </w:rPr>
              <w:t>Deadline (date)</w:t>
            </w:r>
          </w:p>
        </w:tc>
        <w:tc>
          <w:tcPr/>
          <w:p w:rsidR="008D5009" w:rsidRPr="00B71360" w:rsidP="00426349">
            <w:pPr>
              <w:snapToGrid w:val="0"/>
              <w:spacing w:before="0" w:after="0"/>
              <w:jc w:val="center"/>
              <w:rPr>
                <w:b/>
                <w:color w:val="FF0000"/>
                <w:sz w:val="20"/>
                <w:szCs w:val="20"/>
              </w:rPr>
            </w:pPr>
            <w:r w:rsidRPr="00B71360">
              <w:rPr>
                <w:b/>
                <w:noProof/>
                <w:sz w:val="20"/>
                <w:szCs w:val="20"/>
              </w:rPr>
              <w:t>Bodies responsible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The existence of arrangements for the effective application of Union public procurement law in the field of the ESI Funds.</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Arrangements for the effective application of Union public procurement rules through appropriate mechanisms.</w:t>
            </w:r>
          </w:p>
        </w:tc>
        <w:tc>
          <w:tcPr>
            <w:shd w:val="clear" w:color="auto" w:fill="auto"/>
          </w:tcPr>
          <w:p w:rsidR="008D5009" w:rsidRPr="00B71360" w:rsidP="00426349">
            <w:pPr>
              <w:spacing w:before="0" w:after="0"/>
              <w:rPr>
                <w:sz w:val="20"/>
                <w:szCs w:val="20"/>
              </w:rPr>
            </w:pPr>
            <w:r w:rsidRPr="00B71360">
              <w:rPr>
                <w:noProof/>
                <w:sz w:val="20"/>
                <w:szCs w:val="20"/>
              </w:rPr>
              <w:t>Asigurarea cadrului legislativ clar, stabil și coerent</w:t>
            </w:r>
          </w:p>
          <w:p w:rsidR="008D5009" w:rsidRPr="00B71360" w:rsidP="00426349">
            <w:pPr>
              <w:spacing w:before="0" w:after="0"/>
              <w:rPr>
                <w:sz w:val="20"/>
                <w:szCs w:val="20"/>
              </w:rPr>
            </w:pPr>
            <w:r w:rsidRPr="00B71360">
              <w:rPr>
                <w:noProof/>
                <w:sz w:val="20"/>
                <w:szCs w:val="20"/>
              </w:rPr>
              <w:t>-</w:t>
              <w:tab/>
              <w:t>Împuternicirea autorității competente pentru a asigura coerența cu legislația sectorială</w:t>
            </w:r>
          </w:p>
          <w:p w:rsidR="008D5009" w:rsidRPr="00B71360" w:rsidP="00426349">
            <w:pPr>
              <w:spacing w:before="0" w:after="0"/>
              <w:rPr>
                <w:sz w:val="20"/>
                <w:szCs w:val="20"/>
              </w:rPr>
            </w:pPr>
            <w:r w:rsidRPr="00B71360">
              <w:rPr>
                <w:noProof/>
                <w:sz w:val="20"/>
                <w:szCs w:val="20"/>
              </w:rPr>
              <w:t>-</w:t>
              <w:tab/>
              <w:t xml:space="preserve">monitorizarea și gestionarea achizițiilor publice </w:t>
            </w:r>
          </w:p>
          <w:p w:rsidR="008D5009" w:rsidRPr="00B71360" w:rsidP="00426349">
            <w:pPr>
              <w:spacing w:before="0" w:after="0"/>
              <w:rPr>
                <w:sz w:val="20"/>
                <w:szCs w:val="20"/>
              </w:rPr>
            </w:pPr>
            <w:r w:rsidRPr="00B71360">
              <w:rPr>
                <w:noProof/>
                <w:sz w:val="20"/>
                <w:szCs w:val="20"/>
              </w:rPr>
              <w:t>-</w:t>
              <w:tab/>
              <w:t>Evaluarea impactului și consultarea actorilor interesați în elaborarea noii legislații</w:t>
            </w:r>
          </w:p>
          <w:p w:rsidR="008D5009" w:rsidRPr="00B71360" w:rsidP="00426349">
            <w:pPr>
              <w:spacing w:before="0" w:after="0"/>
              <w:rPr>
                <w:sz w:val="20"/>
                <w:szCs w:val="20"/>
              </w:rPr>
            </w:pPr>
            <w:r w:rsidRPr="00B71360">
              <w:rPr>
                <w:noProof/>
                <w:sz w:val="20"/>
                <w:szCs w:val="20"/>
              </w:rPr>
              <w:t>-</w:t>
              <w:tab/>
              <w:t xml:space="preserve">Transpunerea noilor directive </w:t>
            </w:r>
          </w:p>
          <w:p w:rsidR="008D5009" w:rsidRPr="00B71360" w:rsidP="00426349">
            <w:pPr>
              <w:spacing w:before="0" w:after="0"/>
              <w:rPr>
                <w:sz w:val="20"/>
                <w:szCs w:val="20"/>
              </w:rPr>
            </w:pPr>
            <w:r w:rsidRPr="00B71360">
              <w:rPr>
                <w:noProof/>
                <w:sz w:val="20"/>
                <w:szCs w:val="20"/>
              </w:rPr>
              <w:t>-</w:t>
              <w:tab/>
              <w:t>Promovarea noii legislații</w:t>
            </w:r>
          </w:p>
          <w:p w:rsidR="008D5009" w:rsidRPr="00B71360" w:rsidP="00426349">
            <w:pPr>
              <w:spacing w:before="0" w:after="0"/>
              <w:rPr>
                <w:sz w:val="20"/>
                <w:szCs w:val="20"/>
              </w:rPr>
            </w:pPr>
            <w:r w:rsidRPr="00B71360">
              <w:rPr>
                <w:noProof/>
                <w:sz w:val="20"/>
                <w:szCs w:val="20"/>
              </w:rPr>
              <w:t>Asigurarea cadrului instituțional eficient</w:t>
            </w:r>
          </w:p>
          <w:p w:rsidR="008D5009" w:rsidRPr="00B71360" w:rsidP="00426349">
            <w:pPr>
              <w:spacing w:before="0" w:after="0"/>
              <w:rPr>
                <w:sz w:val="20"/>
                <w:szCs w:val="20"/>
              </w:rPr>
            </w:pPr>
            <w:r w:rsidRPr="00B71360">
              <w:rPr>
                <w:noProof/>
                <w:sz w:val="20"/>
                <w:szCs w:val="20"/>
              </w:rPr>
              <w:t>-</w:t>
              <w:tab/>
              <w:t>Coordonarea interinstituțională și instituțională</w:t>
            </w:r>
          </w:p>
          <w:p w:rsidR="008D5009" w:rsidRPr="00B71360" w:rsidP="00426349">
            <w:pPr>
              <w:spacing w:before="0" w:after="0"/>
              <w:rPr>
                <w:sz w:val="20"/>
                <w:szCs w:val="20"/>
              </w:rPr>
            </w:pPr>
            <w:r w:rsidRPr="00B71360">
              <w:rPr>
                <w:noProof/>
                <w:sz w:val="20"/>
                <w:szCs w:val="20"/>
              </w:rPr>
              <w:t>-</w:t>
              <w:tab/>
              <w:t xml:space="preserve">jurisprudență accesibilă </w:t>
            </w:r>
          </w:p>
          <w:p w:rsidR="008D5009" w:rsidRPr="00B71360" w:rsidP="00426349">
            <w:pPr>
              <w:spacing w:before="0" w:after="0"/>
              <w:rPr>
                <w:sz w:val="20"/>
                <w:szCs w:val="20"/>
              </w:rPr>
            </w:pPr>
            <w:r w:rsidRPr="00B71360">
              <w:rPr>
                <w:noProof/>
                <w:sz w:val="20"/>
                <w:szCs w:val="20"/>
              </w:rPr>
              <w:t xml:space="preserve">Mecanisme de verificare și control </w:t>
            </w:r>
          </w:p>
          <w:p w:rsidR="008D5009" w:rsidRPr="00B71360" w:rsidP="00426349">
            <w:pPr>
              <w:spacing w:before="0" w:after="0"/>
              <w:rPr>
                <w:sz w:val="20"/>
                <w:szCs w:val="20"/>
              </w:rPr>
            </w:pPr>
            <w:r w:rsidRPr="00B71360">
              <w:rPr>
                <w:noProof/>
                <w:sz w:val="20"/>
                <w:szCs w:val="20"/>
              </w:rPr>
              <w:t>-</w:t>
              <w:tab/>
              <w:t>Eficientizarea controalelor ex-ante</w:t>
            </w:r>
          </w:p>
          <w:p w:rsidR="008D5009" w:rsidRPr="00B71360" w:rsidP="00426349">
            <w:pPr>
              <w:spacing w:before="0" w:after="0"/>
              <w:rPr>
                <w:sz w:val="20"/>
                <w:szCs w:val="20"/>
              </w:rPr>
            </w:pPr>
            <w:r w:rsidRPr="00B71360">
              <w:rPr>
                <w:noProof/>
                <w:sz w:val="20"/>
                <w:szCs w:val="20"/>
              </w:rPr>
              <w:t>-</w:t>
              <w:tab/>
              <w:t>Consolidarea UCVAP pentru punerea în aplicare a observațiilor</w:t>
            </w:r>
          </w:p>
          <w:p w:rsidR="008D5009" w:rsidRPr="00B71360" w:rsidP="00426349">
            <w:pPr>
              <w:spacing w:before="0" w:after="0"/>
              <w:rPr>
                <w:sz w:val="20"/>
                <w:szCs w:val="20"/>
              </w:rPr>
            </w:pPr>
            <w:r w:rsidRPr="00B71360">
              <w:rPr>
                <w:noProof/>
                <w:sz w:val="20"/>
                <w:szCs w:val="20"/>
              </w:rPr>
              <w:t>-</w:t>
              <w:tab/>
              <w:t>Prevenirea și detectarea conflictului de interese</w:t>
            </w:r>
          </w:p>
          <w:p w:rsidR="008D5009" w:rsidRPr="00B71360" w:rsidP="00426349">
            <w:pPr>
              <w:spacing w:before="0" w:after="0"/>
              <w:rPr>
                <w:sz w:val="20"/>
                <w:szCs w:val="20"/>
              </w:rPr>
            </w:pPr>
            <w:r w:rsidRPr="00B71360">
              <w:rPr>
                <w:noProof/>
                <w:sz w:val="20"/>
                <w:szCs w:val="20"/>
              </w:rPr>
              <w:t>Consolidarea eficacității sistemului de căi de atac</w:t>
            </w:r>
          </w:p>
          <w:p w:rsidR="008D5009" w:rsidRPr="00B71360" w:rsidP="00426349">
            <w:pPr>
              <w:spacing w:before="0" w:after="0"/>
              <w:rPr>
                <w:sz w:val="20"/>
                <w:szCs w:val="20"/>
              </w:rPr>
            </w:pPr>
            <w:r w:rsidRPr="00B71360">
              <w:rPr>
                <w:noProof/>
                <w:sz w:val="20"/>
                <w:szCs w:val="20"/>
              </w:rPr>
              <w:t>-</w:t>
              <w:tab/>
              <w:t>Descurajarea contestațiilor abuzive</w:t>
            </w:r>
          </w:p>
          <w:p w:rsidR="008D5009" w:rsidRPr="00B71360" w:rsidP="00426349">
            <w:pPr>
              <w:spacing w:before="0" w:after="0"/>
              <w:rPr>
                <w:sz w:val="20"/>
                <w:szCs w:val="20"/>
              </w:rPr>
            </w:pPr>
            <w:r w:rsidRPr="00B71360">
              <w:rPr>
                <w:noProof/>
                <w:sz w:val="20"/>
                <w:szCs w:val="20"/>
              </w:rPr>
              <w:t>-</w:t>
              <w:tab/>
              <w:t>Specializarea judecătorilor curților de apel</w:t>
            </w:r>
          </w:p>
          <w:p w:rsidR="008D5009" w:rsidRPr="00B71360" w:rsidP="00426349">
            <w:pPr>
              <w:spacing w:before="0" w:after="0"/>
              <w:rPr>
                <w:sz w:val="20"/>
                <w:szCs w:val="20"/>
              </w:rPr>
            </w:pPr>
            <w:r w:rsidRPr="00B71360">
              <w:rPr>
                <w:noProof/>
                <w:sz w:val="20"/>
                <w:szCs w:val="20"/>
              </w:rPr>
              <w:t>-</w:t>
              <w:tab/>
              <w:t>Decizii CNSC previzibile</w:t>
            </w:r>
          </w:p>
          <w:p w:rsidR="008D5009" w:rsidRPr="00B71360" w:rsidP="00426349">
            <w:pPr>
              <w:spacing w:before="0" w:after="0"/>
              <w:rPr>
                <w:sz w:val="20"/>
                <w:szCs w:val="20"/>
              </w:rPr>
            </w:pPr>
            <w:r w:rsidRPr="00B71360">
              <w:rPr>
                <w:noProof/>
                <w:sz w:val="20"/>
                <w:szCs w:val="20"/>
              </w:rPr>
              <w:t>Măsurile vor fi detaliate, ajustate si monitorizate în cadrul grupului de lucru comun RO-CE(Dg MarktRegio) pe baza unui calendar stabilit de comun acord</w:t>
            </w:r>
          </w:p>
        </w:tc>
        <w:tc>
          <w:tcPr>
            <w:shd w:val="clear" w:color="auto" w:fill="auto"/>
          </w:tcPr>
          <w:p w:rsidR="008D5009" w:rsidRPr="00B71360" w:rsidP="00426349">
            <w:pPr>
              <w:spacing w:before="0" w:after="0"/>
              <w:jc w:val="center"/>
              <w:rPr>
                <w:sz w:val="20"/>
                <w:szCs w:val="20"/>
              </w:rPr>
            </w:pPr>
            <w:r w:rsidRPr="00B71360">
              <w:rPr>
                <w:noProof/>
                <w:sz w:val="20"/>
                <w:szCs w:val="20"/>
              </w:rPr>
              <w:t>31-Mar-2016</w:t>
            </w:r>
          </w:p>
        </w:tc>
        <w:tc>
          <w:tcPr/>
          <w:p w:rsidR="008D5009" w:rsidRPr="00B71360" w:rsidP="00426349">
            <w:pPr>
              <w:spacing w:before="0" w:after="0"/>
              <w:rPr>
                <w:sz w:val="20"/>
                <w:szCs w:val="20"/>
              </w:rPr>
            </w:pPr>
            <w:r w:rsidRPr="00B71360">
              <w:rPr>
                <w:noProof/>
                <w:sz w:val="20"/>
                <w:szCs w:val="20"/>
              </w:rPr>
              <w:t>ANRMAP</w:t>
            </w:r>
          </w:p>
          <w:p w:rsidR="008D5009" w:rsidRPr="00B71360" w:rsidP="00426349">
            <w:pPr>
              <w:spacing w:before="0" w:after="0"/>
              <w:rPr>
                <w:sz w:val="20"/>
                <w:szCs w:val="20"/>
              </w:rPr>
            </w:pPr>
            <w:r w:rsidRPr="00B71360">
              <w:rPr>
                <w:noProof/>
                <w:sz w:val="20"/>
                <w:szCs w:val="20"/>
              </w:rPr>
              <w:t>CNSC</w:t>
            </w:r>
          </w:p>
          <w:p w:rsidR="008D5009" w:rsidRPr="00B71360" w:rsidP="00426349">
            <w:pPr>
              <w:spacing w:before="0" w:after="0"/>
              <w:rPr>
                <w:sz w:val="20"/>
                <w:szCs w:val="20"/>
              </w:rPr>
            </w:pPr>
            <w:r w:rsidRPr="00B71360">
              <w:rPr>
                <w:noProof/>
                <w:sz w:val="20"/>
                <w:szCs w:val="20"/>
              </w:rPr>
              <w:t>MFE</w:t>
            </w:r>
          </w:p>
          <w:p w:rsidR="008D5009" w:rsidRPr="00B71360" w:rsidP="00426349">
            <w:pPr>
              <w:spacing w:before="0" w:after="0"/>
              <w:rPr>
                <w:sz w:val="20"/>
                <w:szCs w:val="20"/>
              </w:rPr>
            </w:pP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The existence of arrangements for the effective application of Union public procurement law in the field of the ESI Funds.</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Arrangements which ensure transparent contract award procedures.</w:t>
            </w:r>
          </w:p>
        </w:tc>
        <w:tc>
          <w:tcPr>
            <w:shd w:val="clear" w:color="auto" w:fill="auto"/>
          </w:tcPr>
          <w:p w:rsidR="008D5009" w:rsidRPr="00B71360" w:rsidP="00426349">
            <w:pPr>
              <w:spacing w:before="0" w:after="0"/>
              <w:rPr>
                <w:sz w:val="20"/>
                <w:szCs w:val="20"/>
              </w:rPr>
            </w:pPr>
            <w:r w:rsidRPr="00B71360">
              <w:rPr>
                <w:noProof/>
                <w:sz w:val="20"/>
                <w:szCs w:val="20"/>
              </w:rPr>
              <w:t>Elaborarea unui ghid de bune practici cu privire la principalele etape ce trebuie urmate în timpul procesului de evaluare, indiferent de sursa fondurilor și sursa de finanțare.</w:t>
            </w:r>
          </w:p>
        </w:tc>
        <w:tc>
          <w:tcPr>
            <w:shd w:val="clear" w:color="auto" w:fill="auto"/>
          </w:tcPr>
          <w:p w:rsidR="008D5009" w:rsidRPr="00B71360" w:rsidP="00426349">
            <w:pPr>
              <w:spacing w:before="0" w:after="0"/>
              <w:jc w:val="center"/>
              <w:rPr>
                <w:sz w:val="20"/>
                <w:szCs w:val="20"/>
              </w:rPr>
            </w:pPr>
            <w:r w:rsidRPr="00B71360">
              <w:rPr>
                <w:noProof/>
                <w:sz w:val="20"/>
                <w:szCs w:val="20"/>
              </w:rPr>
              <w:t>30-Jun-2016</w:t>
            </w:r>
          </w:p>
        </w:tc>
        <w:tc>
          <w:tcPr/>
          <w:p w:rsidR="008D5009" w:rsidRPr="00B71360" w:rsidP="00426349">
            <w:pPr>
              <w:spacing w:before="0" w:after="0"/>
              <w:rPr>
                <w:sz w:val="20"/>
                <w:szCs w:val="20"/>
              </w:rPr>
            </w:pPr>
            <w:r w:rsidRPr="00B71360">
              <w:rPr>
                <w:noProof/>
                <w:sz w:val="20"/>
                <w:szCs w:val="20"/>
              </w:rPr>
              <w:t>ANRMAP</w:t>
            </w:r>
          </w:p>
          <w:p w:rsidR="008D5009" w:rsidRPr="00B71360" w:rsidP="00426349">
            <w:pPr>
              <w:spacing w:before="0" w:after="0"/>
              <w:rPr>
                <w:sz w:val="20"/>
                <w:szCs w:val="20"/>
              </w:rPr>
            </w:pPr>
            <w:r w:rsidRPr="00B71360">
              <w:rPr>
                <w:noProof/>
                <w:sz w:val="20"/>
                <w:szCs w:val="20"/>
              </w:rPr>
              <w:t>MFE</w:t>
            </w:r>
          </w:p>
          <w:p w:rsidR="008D5009" w:rsidRPr="00B71360" w:rsidP="00426349">
            <w:pPr>
              <w:spacing w:before="0" w:after="0"/>
              <w:rPr>
                <w:sz w:val="20"/>
                <w:szCs w:val="20"/>
              </w:rPr>
            </w:pP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The existence of arrangements for the effective application of Union public procurement law in the field of the ESI Funds.</w:t>
            </w:r>
          </w:p>
        </w:tc>
        <w:tc>
          <w:tcPr/>
          <w:p w:rsidR="008D5009" w:rsidRPr="00B71360" w:rsidP="00426349">
            <w:pPr>
              <w:spacing w:before="0" w:after="0"/>
              <w:rPr>
                <w:sz w:val="20"/>
                <w:szCs w:val="20"/>
              </w:rPr>
            </w:pPr>
            <w:r>
              <w:rPr>
                <w:noProof/>
                <w:sz w:val="20"/>
                <w:szCs w:val="20"/>
              </w:rPr>
              <w:t>3</w:t>
            </w:r>
            <w:r>
              <w:rPr>
                <w:sz w:val="20"/>
                <w:szCs w:val="20"/>
              </w:rPr>
              <w:t xml:space="preserve"> - </w:t>
            </w:r>
            <w:r w:rsidRPr="00B71360">
              <w:rPr>
                <w:noProof/>
                <w:sz w:val="20"/>
                <w:szCs w:val="20"/>
              </w:rPr>
              <w:t>Arrangements for training and dissemination of information for staff involved in the implementation of the ESI funds.</w:t>
            </w:r>
          </w:p>
        </w:tc>
        <w:tc>
          <w:tcPr>
            <w:shd w:val="clear" w:color="auto" w:fill="auto"/>
          </w:tcPr>
          <w:p w:rsidR="008D5009" w:rsidRPr="00B71360" w:rsidP="00426349">
            <w:pPr>
              <w:spacing w:before="0" w:after="0"/>
              <w:rPr>
                <w:sz w:val="20"/>
                <w:szCs w:val="20"/>
              </w:rPr>
            </w:pPr>
            <w:r w:rsidRPr="00B71360">
              <w:rPr>
                <w:noProof/>
                <w:sz w:val="20"/>
                <w:szCs w:val="20"/>
              </w:rPr>
              <w:t>România va elabora o Strategie națională privind formarea personalului, strategie ce va avea în vedere următoarele sarcini: - Crearea unui grup de experți pentru evaluare - Examinarea eficacității acțiunilor de formare a personalului - Elaborarea unui ghid de bune practici cu privire la etapele principale ce trebuie urmate în procesul de evaluare, indiferent de sursa fondurilor și sursa de finanțare</w:t>
            </w:r>
          </w:p>
        </w:tc>
        <w:tc>
          <w:tcPr>
            <w:shd w:val="clear" w:color="auto" w:fill="auto"/>
          </w:tcPr>
          <w:p w:rsidR="008D5009" w:rsidRPr="00B71360" w:rsidP="00426349">
            <w:pPr>
              <w:spacing w:before="0" w:after="0"/>
              <w:jc w:val="center"/>
              <w:rPr>
                <w:sz w:val="20"/>
                <w:szCs w:val="20"/>
              </w:rPr>
            </w:pPr>
            <w:r w:rsidRPr="00B71360">
              <w:rPr>
                <w:noProof/>
                <w:sz w:val="20"/>
                <w:szCs w:val="20"/>
              </w:rPr>
              <w:t>30-Sep-2015</w:t>
            </w:r>
          </w:p>
        </w:tc>
        <w:tc>
          <w:tcPr/>
          <w:p w:rsidR="008D5009" w:rsidRPr="00B71360" w:rsidP="00426349">
            <w:pPr>
              <w:spacing w:before="0" w:after="0"/>
              <w:rPr>
                <w:sz w:val="20"/>
                <w:szCs w:val="20"/>
              </w:rPr>
            </w:pPr>
            <w:r w:rsidRPr="00B71360">
              <w:rPr>
                <w:noProof/>
                <w:sz w:val="20"/>
                <w:szCs w:val="20"/>
              </w:rPr>
              <w:t>ANRMAP</w:t>
            </w:r>
          </w:p>
          <w:p w:rsidR="008D5009" w:rsidRPr="00B71360" w:rsidP="00426349">
            <w:pPr>
              <w:spacing w:before="0" w:after="0"/>
              <w:rPr>
                <w:sz w:val="20"/>
                <w:szCs w:val="20"/>
              </w:rPr>
            </w:pPr>
            <w:r w:rsidRPr="00B71360">
              <w:rPr>
                <w:noProof/>
                <w:sz w:val="20"/>
                <w:szCs w:val="20"/>
              </w:rPr>
              <w:t>MFE</w:t>
            </w:r>
          </w:p>
          <w:p w:rsidR="008D5009" w:rsidRPr="00B71360" w:rsidP="00426349">
            <w:pPr>
              <w:spacing w:before="0" w:after="0"/>
              <w:rPr>
                <w:sz w:val="20"/>
                <w:szCs w:val="20"/>
              </w:rPr>
            </w:pP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4</w:t>
            </w:r>
            <w:r w:rsidRPr="00B71360">
              <w:rPr>
                <w:sz w:val="20"/>
                <w:szCs w:val="20"/>
              </w:rPr>
              <w:t xml:space="preserve"> </w:t>
            </w:r>
            <w:r>
              <w:rPr>
                <w:sz w:val="20"/>
                <w:szCs w:val="20"/>
              </w:rPr>
              <w:t xml:space="preserve">- </w:t>
            </w:r>
            <w:r w:rsidRPr="00B71360">
              <w:rPr>
                <w:noProof/>
                <w:sz w:val="20"/>
                <w:szCs w:val="20"/>
              </w:rPr>
              <w:t>The existence of arrangements for the effective application of Union public procurement law in the field of the ESI Funds.</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Arrangements to ensure administrative capacity for implementation and application of Union public procurement rules.</w:t>
            </w:r>
          </w:p>
        </w:tc>
        <w:tc>
          <w:tcPr>
            <w:shd w:val="clear" w:color="auto" w:fill="auto"/>
          </w:tcPr>
          <w:p w:rsidR="008D5009" w:rsidRPr="00B71360" w:rsidP="00426349">
            <w:pPr>
              <w:spacing w:before="0" w:after="0"/>
              <w:rPr>
                <w:sz w:val="20"/>
                <w:szCs w:val="20"/>
              </w:rPr>
            </w:pPr>
            <w:r w:rsidRPr="00B71360">
              <w:rPr>
                <w:noProof/>
                <w:sz w:val="20"/>
                <w:szCs w:val="20"/>
              </w:rPr>
              <w:t>Elaborarea, ori de câte ori este relevant, a unei documentații standardizate de licitație și recurgerea, ori de câte ori este relevant, la unitățile centrale de achiziții.</w:t>
            </w:r>
          </w:p>
        </w:tc>
        <w:tc>
          <w:tcPr>
            <w:shd w:val="clear" w:color="auto" w:fill="auto"/>
          </w:tcPr>
          <w:p w:rsidR="008D5009" w:rsidRPr="00B71360" w:rsidP="00426349">
            <w:pPr>
              <w:spacing w:before="0" w:after="0"/>
              <w:jc w:val="center"/>
              <w:rPr>
                <w:sz w:val="20"/>
                <w:szCs w:val="20"/>
              </w:rPr>
            </w:pPr>
            <w:r w:rsidRPr="00B71360">
              <w:rPr>
                <w:noProof/>
                <w:sz w:val="20"/>
                <w:szCs w:val="20"/>
              </w:rPr>
              <w:t>30-Jun-2016</w:t>
            </w:r>
          </w:p>
        </w:tc>
        <w:tc>
          <w:tcPr/>
          <w:p w:rsidR="008D5009" w:rsidRPr="00B71360" w:rsidP="00426349">
            <w:pPr>
              <w:spacing w:before="0" w:after="0"/>
              <w:rPr>
                <w:sz w:val="20"/>
                <w:szCs w:val="20"/>
              </w:rPr>
            </w:pPr>
            <w:r w:rsidRPr="00B71360">
              <w:rPr>
                <w:noProof/>
                <w:sz w:val="20"/>
                <w:szCs w:val="20"/>
              </w:rPr>
              <w:t>ANRMAP</w:t>
            </w:r>
          </w:p>
          <w:p w:rsidR="008D5009" w:rsidRPr="00B71360" w:rsidP="00426349">
            <w:pPr>
              <w:spacing w:before="0" w:after="0"/>
              <w:rPr>
                <w:sz w:val="20"/>
                <w:szCs w:val="20"/>
              </w:rPr>
            </w:pPr>
            <w:r w:rsidRPr="00B71360">
              <w:rPr>
                <w:noProof/>
                <w:sz w:val="20"/>
                <w:szCs w:val="20"/>
              </w:rPr>
              <w:t>MFE</w:t>
            </w:r>
          </w:p>
          <w:p w:rsidR="008D5009" w:rsidRPr="00B71360" w:rsidP="00426349">
            <w:pPr>
              <w:spacing w:before="0" w:after="0"/>
              <w:rPr>
                <w:sz w:val="20"/>
                <w:szCs w:val="20"/>
              </w:rPr>
            </w:pP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5</w:t>
            </w:r>
            <w:r w:rsidRPr="00B71360">
              <w:rPr>
                <w:sz w:val="20"/>
                <w:szCs w:val="20"/>
              </w:rPr>
              <w:t xml:space="preserve"> </w:t>
            </w:r>
            <w:r>
              <w:rPr>
                <w:sz w:val="20"/>
                <w:szCs w:val="20"/>
              </w:rPr>
              <w:t xml:space="preserve">- </w:t>
            </w:r>
            <w:r w:rsidRPr="00B71360">
              <w:rPr>
                <w:noProof/>
                <w:sz w:val="20"/>
                <w:szCs w:val="20"/>
              </w:rPr>
              <w:t>The existence of arrangements for the effective application of Union State aid rules in the field of the ESI Funds.</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Arrangements for the effective application of Union State aid rules.</w:t>
            </w:r>
          </w:p>
        </w:tc>
        <w:tc>
          <w:tcPr>
            <w:shd w:val="clear" w:color="auto" w:fill="auto"/>
          </w:tcPr>
          <w:p w:rsidR="008D5009" w:rsidRPr="00B71360" w:rsidP="00426349">
            <w:pPr>
              <w:spacing w:before="0" w:after="0"/>
              <w:rPr>
                <w:sz w:val="20"/>
                <w:szCs w:val="20"/>
              </w:rPr>
            </w:pPr>
            <w:r w:rsidRPr="00B71360">
              <w:rPr>
                <w:noProof/>
                <w:sz w:val="20"/>
                <w:szCs w:val="20"/>
              </w:rPr>
              <w:t>Elaborarea unei baze de date care permite verificarea ex ante a eligibilităţii beneficiarilor pentru acordarea ajutoarelor de stat/ajutoarelor de minimis, constând în:</w:t>
            </w:r>
          </w:p>
          <w:p w:rsidR="008D5009" w:rsidRPr="00B71360" w:rsidP="00426349">
            <w:pPr>
              <w:spacing w:before="0" w:after="0"/>
              <w:rPr>
                <w:sz w:val="20"/>
                <w:szCs w:val="20"/>
              </w:rPr>
            </w:pPr>
            <w:r w:rsidRPr="00B71360">
              <w:rPr>
                <w:noProof/>
                <w:sz w:val="20"/>
                <w:szCs w:val="20"/>
              </w:rPr>
              <w:t>–</w:t>
              <w:tab/>
              <w:t>Încheiere Protocol de cooperare între Consiliul Concurenței, Ministerul Fondurilor Europene și Serviciul de Telecomunicații Speciale pentru crearea, utilizarea și dezvoltarea/modificarea ulterioară a bazei de date (inclusiv modificarea legislaţiei naţionale privind ajutorul de stat).</w:t>
            </w:r>
          </w:p>
          <w:p w:rsidR="008D5009" w:rsidRPr="00B71360" w:rsidP="00426349">
            <w:pPr>
              <w:spacing w:before="0" w:after="0"/>
              <w:rPr>
                <w:sz w:val="20"/>
                <w:szCs w:val="20"/>
              </w:rPr>
            </w:pPr>
            <w:r w:rsidRPr="00B71360">
              <w:rPr>
                <w:noProof/>
                <w:sz w:val="20"/>
                <w:szCs w:val="20"/>
              </w:rPr>
              <w:t>–</w:t>
              <w:tab/>
              <w:t>Procedura de achiziție de echipament și licențe informatice</w:t>
            </w:r>
          </w:p>
          <w:p w:rsidR="008D5009" w:rsidRPr="00B71360" w:rsidP="00426349">
            <w:pPr>
              <w:spacing w:before="0" w:after="0"/>
              <w:rPr>
                <w:sz w:val="20"/>
                <w:szCs w:val="20"/>
              </w:rPr>
            </w:pPr>
            <w:r w:rsidRPr="00B71360">
              <w:rPr>
                <w:noProof/>
                <w:sz w:val="20"/>
                <w:szCs w:val="20"/>
              </w:rPr>
              <w:t>–</w:t>
              <w:tab/>
              <w:t>Achiziționarea echipamentului.</w:t>
            </w:r>
          </w:p>
          <w:p w:rsidR="008D5009" w:rsidRPr="00B71360" w:rsidP="00426349">
            <w:pPr>
              <w:spacing w:before="0" w:after="0"/>
              <w:rPr>
                <w:sz w:val="20"/>
                <w:szCs w:val="20"/>
              </w:rPr>
            </w:pPr>
            <w:r w:rsidRPr="00B71360">
              <w:rPr>
                <w:noProof/>
                <w:sz w:val="20"/>
                <w:szCs w:val="20"/>
              </w:rPr>
              <w:t>–</w:t>
              <w:tab/>
              <w:t>Încărcarea datelor din SMIS ca parte a etapei de testare</w:t>
            </w:r>
          </w:p>
          <w:p w:rsidR="008D5009" w:rsidRPr="00B71360" w:rsidP="00426349">
            <w:pPr>
              <w:spacing w:before="0" w:after="0"/>
              <w:rPr>
                <w:sz w:val="20"/>
                <w:szCs w:val="20"/>
              </w:rPr>
            </w:pPr>
            <w:r w:rsidRPr="00B71360">
              <w:rPr>
                <w:noProof/>
                <w:sz w:val="20"/>
                <w:szCs w:val="20"/>
              </w:rPr>
              <w:t>–</w:t>
              <w:tab/>
              <w:t>Actualizarea bazei de date în timp real (inclusiv importul de date din SMIS în timp real).</w:t>
            </w:r>
          </w:p>
          <w:p w:rsidR="008D5009" w:rsidRPr="00B71360" w:rsidP="00426349">
            <w:pPr>
              <w:spacing w:before="0" w:after="0"/>
              <w:rPr>
                <w:sz w:val="20"/>
                <w:szCs w:val="20"/>
              </w:rPr>
            </w:pPr>
            <w:r w:rsidRPr="00B71360">
              <w:rPr>
                <w:noProof/>
                <w:sz w:val="20"/>
                <w:szCs w:val="20"/>
              </w:rPr>
              <w:t>–</w:t>
              <w:tab/>
              <w:t>Modificarea legislației naționale privind ajutorul de stat pentru a introduce obligația ca inițiatorii/concedenții ajutorului de stat să folosească baza de date.</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31-Dec-2015</w:t>
            </w:r>
          </w:p>
        </w:tc>
        <w:tc>
          <w:tcPr/>
          <w:p w:rsidR="008D5009" w:rsidRPr="00B71360" w:rsidP="00426349">
            <w:pPr>
              <w:spacing w:before="0" w:after="0"/>
              <w:rPr>
                <w:sz w:val="20"/>
                <w:szCs w:val="20"/>
              </w:rPr>
            </w:pPr>
            <w:r w:rsidRPr="00B71360">
              <w:rPr>
                <w:noProof/>
                <w:sz w:val="20"/>
                <w:szCs w:val="20"/>
              </w:rPr>
              <w:t>Consiliul Concurenței</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The existence of a statistical basis necessary to undertake evaluations to assess the effectiveness and impact of the programmes. The existence of a system of result indicators necessary to select actions, which most effectively contribute to desired results, to monitor progress towards results and to undertake impact evaluation.</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Arrangements for timely collection and aggregation of statistical data with the following elements are in place: the identification of sources and mechanisms to ensure statistical validation.</w:t>
            </w:r>
          </w:p>
        </w:tc>
        <w:tc>
          <w:tcPr>
            <w:shd w:val="clear" w:color="auto" w:fill="auto"/>
          </w:tcPr>
          <w:p w:rsidR="008D5009" w:rsidRPr="00B71360" w:rsidP="00426349">
            <w:pPr>
              <w:spacing w:before="0" w:after="0"/>
              <w:rPr>
                <w:sz w:val="20"/>
                <w:szCs w:val="20"/>
              </w:rPr>
            </w:pPr>
            <w:r w:rsidRPr="00B71360">
              <w:rPr>
                <w:noProof/>
                <w:sz w:val="20"/>
                <w:szCs w:val="20"/>
              </w:rPr>
              <w:t>1.</w:t>
              <w:tab/>
              <w:t>Elaborarea și aprobarea procedurilor de monitorizare a indicatorilor financiari și fizici ai POC, care vor conține informații privind organismele responsabile pentru colectarea datelor, resursele umane dedicate, termenele de colectare a datelor, conținutul datelor și modalitățile de procesare a acestora.</w:t>
            </w:r>
          </w:p>
          <w:p w:rsidR="008D5009" w:rsidRPr="00B71360" w:rsidP="00426349">
            <w:pPr>
              <w:spacing w:before="0" w:after="0"/>
              <w:rPr>
                <w:sz w:val="20"/>
                <w:szCs w:val="20"/>
              </w:rPr>
            </w:pPr>
            <w:r w:rsidRPr="00B71360">
              <w:rPr>
                <w:noProof/>
                <w:sz w:val="20"/>
                <w:szCs w:val="20"/>
              </w:rPr>
              <w:t>2. Adaptarea SMIS/MySMIS la cerințele Regulamentului Delegat (UE) nr. 480/2014.</w:t>
            </w:r>
          </w:p>
          <w:p w:rsidR="008D5009" w:rsidRPr="00B71360" w:rsidP="00426349">
            <w:pPr>
              <w:spacing w:before="0" w:after="0"/>
              <w:rPr>
                <w:sz w:val="20"/>
                <w:szCs w:val="20"/>
              </w:rPr>
            </w:pPr>
            <w:r w:rsidRPr="00B71360">
              <w:rPr>
                <w:noProof/>
                <w:sz w:val="20"/>
                <w:szCs w:val="20"/>
              </w:rPr>
              <w:t xml:space="preserve"> </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30-Jun-2015</w:t>
            </w:r>
          </w:p>
        </w:tc>
        <w:tc>
          <w:tcPr/>
          <w:p w:rsidR="008D5009" w:rsidRPr="00B71360" w:rsidP="00426349">
            <w:pPr>
              <w:spacing w:before="0" w:after="0"/>
              <w:rPr>
                <w:sz w:val="20"/>
                <w:szCs w:val="20"/>
              </w:rPr>
            </w:pPr>
            <w:r w:rsidRPr="00B71360">
              <w:rPr>
                <w:noProof/>
                <w:sz w:val="20"/>
                <w:szCs w:val="20"/>
              </w:rPr>
              <w:t>MFE</w:t>
            </w:r>
          </w:p>
          <w:p w:rsidR="008D5009" w:rsidRPr="00B71360" w:rsidP="00426349">
            <w:pPr>
              <w:spacing w:before="0" w:after="0"/>
              <w:rPr>
                <w:sz w:val="20"/>
                <w:szCs w:val="20"/>
              </w:rPr>
            </w:pPr>
            <w:r w:rsidRPr="00B71360">
              <w:rPr>
                <w:noProof/>
                <w:sz w:val="20"/>
                <w:szCs w:val="20"/>
              </w:rPr>
              <w:t>AM POC</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The existence of a statistical basis necessary to undertake evaluations to assess the effectiveness and impact of the programmes. The existence of a system of result indicators necessary to select actions, which most effectively contribute to desired results, to monitor progress towards results and to undertake impact evaluation.</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Arrangements for timely collection and aggregation of statistical data with the following elements are in place: arrangements for publication and public availability of aggregated data.</w:t>
            </w:r>
          </w:p>
        </w:tc>
        <w:tc>
          <w:tcPr>
            <w:shd w:val="clear" w:color="auto" w:fill="auto"/>
          </w:tcPr>
          <w:p w:rsidR="008D5009" w:rsidRPr="00B71360" w:rsidP="00426349">
            <w:pPr>
              <w:spacing w:before="0" w:after="0"/>
              <w:rPr>
                <w:sz w:val="20"/>
                <w:szCs w:val="20"/>
              </w:rPr>
            </w:pPr>
            <w:r w:rsidRPr="00B71360">
              <w:rPr>
                <w:noProof/>
                <w:sz w:val="20"/>
                <w:szCs w:val="20"/>
              </w:rPr>
              <w:t>Elaborarea și aprobarea în CM a Strategiei de Comunicare, care va include măsurile pentru publicarea și punerea la dispoziția publicului a datelor agregate.</w:t>
            </w:r>
          </w:p>
        </w:tc>
        <w:tc>
          <w:tcPr>
            <w:shd w:val="clear" w:color="auto" w:fill="auto"/>
          </w:tcPr>
          <w:p w:rsidR="008D5009" w:rsidRPr="00B71360" w:rsidP="00426349">
            <w:pPr>
              <w:spacing w:before="0" w:after="0"/>
              <w:jc w:val="center"/>
              <w:rPr>
                <w:sz w:val="20"/>
                <w:szCs w:val="20"/>
              </w:rPr>
            </w:pPr>
            <w:r w:rsidRPr="00B71360">
              <w:rPr>
                <w:noProof/>
                <w:sz w:val="20"/>
                <w:szCs w:val="20"/>
              </w:rPr>
              <w:t>30-Jun-2015</w:t>
            </w:r>
          </w:p>
        </w:tc>
        <w:tc>
          <w:tcPr/>
          <w:p w:rsidR="008D5009" w:rsidRPr="00B71360" w:rsidP="00426349">
            <w:pPr>
              <w:spacing w:before="0" w:after="0"/>
              <w:rPr>
                <w:sz w:val="20"/>
                <w:szCs w:val="20"/>
              </w:rPr>
            </w:pPr>
            <w:r w:rsidRPr="00B71360">
              <w:rPr>
                <w:noProof/>
                <w:sz w:val="20"/>
                <w:szCs w:val="20"/>
              </w:rPr>
              <w:t>MFE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The existence of a statistical basis necessary to undertake evaluations to assess the effectiveness and impact of the programmes. The existence of a system of result indicators necessary to select actions, which most effectively contribute to desired results, to monitor progress towards results and to undertake impact evaluation.</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An effective system of result indicators including: the establishment of targets for these indicators.</w:t>
            </w:r>
          </w:p>
        </w:tc>
        <w:tc>
          <w:tcPr>
            <w:shd w:val="clear" w:color="auto" w:fill="auto"/>
          </w:tcPr>
          <w:p w:rsidR="008D5009" w:rsidRPr="00B71360" w:rsidP="00426349">
            <w:pPr>
              <w:spacing w:before="0" w:after="0"/>
              <w:rPr>
                <w:sz w:val="20"/>
                <w:szCs w:val="20"/>
              </w:rPr>
            </w:pPr>
            <w:r w:rsidRPr="00B71360">
              <w:rPr>
                <w:noProof/>
                <w:sz w:val="20"/>
                <w:szCs w:val="20"/>
              </w:rPr>
              <w:t>Identificarea valorilor de bază lipsă în special prin sondaje externalizate</w:t>
            </w:r>
          </w:p>
        </w:tc>
        <w:tc>
          <w:tcPr>
            <w:shd w:val="clear" w:color="auto" w:fill="auto"/>
          </w:tcPr>
          <w:p w:rsidR="008D5009" w:rsidRPr="00B71360" w:rsidP="00426349">
            <w:pPr>
              <w:spacing w:before="0" w:after="0"/>
              <w:jc w:val="center"/>
              <w:rPr>
                <w:sz w:val="20"/>
                <w:szCs w:val="20"/>
              </w:rPr>
            </w:pPr>
            <w:r w:rsidRPr="00B71360">
              <w:rPr>
                <w:noProof/>
                <w:sz w:val="20"/>
                <w:szCs w:val="20"/>
              </w:rPr>
              <w:t>30-Jun-2015</w:t>
            </w:r>
          </w:p>
        </w:tc>
        <w:tc>
          <w:tcPr/>
          <w:p w:rsidR="008D5009" w:rsidRPr="00B71360" w:rsidP="00426349">
            <w:pPr>
              <w:spacing w:before="0" w:after="0"/>
              <w:rPr>
                <w:sz w:val="20"/>
                <w:szCs w:val="20"/>
              </w:rPr>
            </w:pPr>
            <w:r w:rsidRPr="00B71360">
              <w:rPr>
                <w:noProof/>
                <w:sz w:val="20"/>
                <w:szCs w:val="20"/>
              </w:rPr>
              <w:t>MFE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The existence of a statistical basis necessary to undertake evaluations to assess the effectiveness and impact of the programmes. The existence of a system of result indicators necessary to select actions, which most effectively contribute to desired results, to monitor progress towards results and to undertake impact evaluation.</w:t>
            </w:r>
          </w:p>
        </w:tc>
        <w:tc>
          <w:tcPr/>
          <w:p w:rsidR="008D5009" w:rsidRPr="00B71360" w:rsidP="00426349">
            <w:pPr>
              <w:spacing w:before="0" w:after="0"/>
              <w:rPr>
                <w:sz w:val="20"/>
                <w:szCs w:val="20"/>
              </w:rPr>
            </w:pPr>
            <w:r>
              <w:rPr>
                <w:noProof/>
                <w:sz w:val="20"/>
                <w:szCs w:val="20"/>
              </w:rPr>
              <w:t>5</w:t>
            </w:r>
            <w:r>
              <w:rPr>
                <w:sz w:val="20"/>
                <w:szCs w:val="20"/>
              </w:rPr>
              <w:t xml:space="preserve"> - </w:t>
            </w:r>
            <w:r w:rsidRPr="00B71360">
              <w:rPr>
                <w:noProof/>
                <w:sz w:val="20"/>
                <w:szCs w:val="20"/>
              </w:rPr>
              <w:t>An effective system of result indicators including: the consistency of each indicator with the following requisites: robustness and statistical validation, clarity of normative interpretation, responsiveness to policy, timely collection of data.</w:t>
            </w:r>
          </w:p>
        </w:tc>
        <w:tc>
          <w:tcPr>
            <w:shd w:val="clear" w:color="auto" w:fill="auto"/>
          </w:tcPr>
          <w:p w:rsidR="008D5009" w:rsidRPr="00B71360" w:rsidP="00426349">
            <w:pPr>
              <w:spacing w:before="0" w:after="0"/>
              <w:rPr>
                <w:sz w:val="20"/>
                <w:szCs w:val="20"/>
              </w:rPr>
            </w:pPr>
            <w:r w:rsidRPr="00B71360">
              <w:rPr>
                <w:noProof/>
                <w:sz w:val="20"/>
                <w:szCs w:val="20"/>
              </w:rPr>
              <w:t>1.</w:t>
              <w:tab/>
              <w:t>Identificarea valorilor de bază lipsă în special prin sondaje externalizate.</w:t>
            </w:r>
          </w:p>
          <w:p w:rsidR="008D5009" w:rsidRPr="00B71360" w:rsidP="00426349">
            <w:pPr>
              <w:spacing w:before="0" w:after="0"/>
              <w:rPr>
                <w:sz w:val="20"/>
                <w:szCs w:val="20"/>
              </w:rPr>
            </w:pPr>
            <w:r w:rsidRPr="00B71360">
              <w:rPr>
                <w:noProof/>
                <w:sz w:val="20"/>
                <w:szCs w:val="20"/>
              </w:rPr>
              <w:t>2.</w:t>
              <w:tab/>
              <w:t>Elaborarea și aprobarea procedurilor de monitorizare a indicatorilor financiari și fizici ai POC, care vor conține informații privind organismele responsabile pentru colectarea datelor, resursele umane dedicate, termenele de colectare a datelor, conținutul datelor și modalitățile de procesare a acestora.</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30-Jun-2015</w:t>
            </w:r>
          </w:p>
        </w:tc>
        <w:tc>
          <w:tcPr/>
          <w:p w:rsidR="008D5009" w:rsidRPr="00B71360" w:rsidP="00426349">
            <w:pPr>
              <w:spacing w:before="0" w:after="0"/>
              <w:rPr>
                <w:sz w:val="20"/>
                <w:szCs w:val="20"/>
              </w:rPr>
            </w:pPr>
            <w:r w:rsidRPr="00B71360">
              <w:rPr>
                <w:noProof/>
                <w:sz w:val="20"/>
                <w:szCs w:val="20"/>
              </w:rPr>
              <w:t>MFE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G</w:t>
            </w:r>
            <w:r w:rsidRPr="00B71360">
              <w:rPr>
                <w:sz w:val="20"/>
                <w:szCs w:val="20"/>
              </w:rPr>
              <w:t>.</w:t>
            </w:r>
            <w:r w:rsidRPr="00B71360">
              <w:rPr>
                <w:noProof/>
                <w:sz w:val="20"/>
                <w:szCs w:val="20"/>
              </w:rPr>
              <w:t>7</w:t>
            </w:r>
            <w:r w:rsidRPr="00B71360">
              <w:rPr>
                <w:sz w:val="20"/>
                <w:szCs w:val="20"/>
              </w:rPr>
              <w:t xml:space="preserve"> </w:t>
            </w:r>
            <w:r>
              <w:rPr>
                <w:sz w:val="20"/>
                <w:szCs w:val="20"/>
              </w:rPr>
              <w:t xml:space="preserve">- </w:t>
            </w:r>
            <w:r w:rsidRPr="00B71360">
              <w:rPr>
                <w:noProof/>
                <w:sz w:val="20"/>
                <w:szCs w:val="20"/>
              </w:rPr>
              <w:t>The existence of a statistical basis necessary to undertake evaluations to assess the effectiveness and impact of the programmes. The existence of a system of result indicators necessary to select actions, which most effectively contribute to desired results, to monitor progress towards results and to undertake impact evaluation.</w:t>
            </w:r>
          </w:p>
        </w:tc>
        <w:tc>
          <w:tcPr/>
          <w:p w:rsidR="008D5009" w:rsidRPr="00B71360" w:rsidP="00426349">
            <w:pPr>
              <w:spacing w:before="0" w:after="0"/>
              <w:rPr>
                <w:sz w:val="20"/>
                <w:szCs w:val="20"/>
              </w:rPr>
            </w:pPr>
            <w:r>
              <w:rPr>
                <w:noProof/>
                <w:sz w:val="20"/>
                <w:szCs w:val="20"/>
              </w:rPr>
              <w:t>6</w:t>
            </w:r>
            <w:r>
              <w:rPr>
                <w:sz w:val="20"/>
                <w:szCs w:val="20"/>
              </w:rPr>
              <w:t xml:space="preserve"> - </w:t>
            </w:r>
            <w:r w:rsidRPr="00B71360">
              <w:rPr>
                <w:noProof/>
                <w:sz w:val="20"/>
                <w:szCs w:val="20"/>
              </w:rPr>
              <w:t>Procedures in place to ensure that all operations financed by the programme adopt an effective system of indicators.</w:t>
            </w:r>
          </w:p>
        </w:tc>
        <w:tc>
          <w:tcPr>
            <w:shd w:val="clear" w:color="auto" w:fill="auto"/>
          </w:tcPr>
          <w:p w:rsidR="008D5009" w:rsidRPr="00B71360" w:rsidP="00426349">
            <w:pPr>
              <w:spacing w:before="0" w:after="0"/>
              <w:rPr>
                <w:sz w:val="20"/>
                <w:szCs w:val="20"/>
              </w:rPr>
            </w:pPr>
            <w:r w:rsidRPr="00B71360">
              <w:rPr>
                <w:noProof/>
                <w:sz w:val="20"/>
                <w:szCs w:val="20"/>
              </w:rPr>
              <w:t>1. Elaborarea și aprobarea procedurilor de monitorizare a indicatorilor financiari și fizici ai POC, care vor conține informații privind organismele responsabile pentru colectarea datelor, resursele umane dedicate, termenele de colectare a datelor, conținutul datelor și modalitățile de procesare a acestora.</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2. Elaborarea și aprobarea în CM POC a Planului de Evaluare a Programului care va identifica datele necesare evaluărilor și realizarea ulterioară a aranjamentelor de colectare sau accesare a datelor necesare evaluărilor de impact, altele decât cele furnizate de sistemul de monitorizare.</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30-Jun-2016</w:t>
            </w:r>
          </w:p>
        </w:tc>
        <w:tc>
          <w:tcPr/>
          <w:p w:rsidR="008D5009" w:rsidRPr="00B71360" w:rsidP="00426349">
            <w:pPr>
              <w:spacing w:before="0" w:after="0"/>
              <w:rPr>
                <w:sz w:val="20"/>
                <w:szCs w:val="20"/>
              </w:rPr>
            </w:pPr>
            <w:r w:rsidRPr="00B71360">
              <w:rPr>
                <w:noProof/>
                <w:sz w:val="20"/>
                <w:szCs w:val="20"/>
              </w:rPr>
              <w:t>MFE</w:t>
            </w:r>
          </w:p>
        </w:tc>
      </w:tr>
    </w:tbl>
    <w:p w:rsidR="008D5009" w:rsidRPr="00DC028E" w:rsidP="008D5009">
      <w:pPr>
        <w:spacing w:before="0" w:after="0"/>
        <w:rPr>
          <w:b/>
        </w:rPr>
      </w:pPr>
    </w:p>
    <w:p w:rsidR="008D5009" w:rsidP="008D5009">
      <w:pPr>
        <w:keepNext/>
        <w:spacing w:before="0" w:after="0"/>
        <w:rPr>
          <w:b/>
        </w:rPr>
      </w:pPr>
      <w:r>
        <w:rPr>
          <w:b/>
          <w:noProof/>
        </w:rPr>
        <w:t>Table 26: Actions to fulfil applicable thematic ex-ante conditionalities</w:t>
      </w:r>
      <w:r w:rsidRPr="00DC028E">
        <w:rPr>
          <w:b/>
        </w:rPr>
        <w:t xml:space="preserve"> </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986"/>
        <w:gridCol w:w="3337"/>
        <w:gridCol w:w="4256"/>
        <w:gridCol w:w="992"/>
        <w:gridCol w:w="1203"/>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493"/>
          <w:tblHeader/>
        </w:trPr>
        <w:tc>
          <w:tcPr>
            <w:shd w:val="clear" w:color="auto" w:fill="auto"/>
          </w:tcPr>
          <w:p w:rsidR="008D5009" w:rsidRPr="00B71360" w:rsidP="00426349">
            <w:pPr>
              <w:snapToGrid w:val="0"/>
              <w:spacing w:before="0" w:after="0"/>
              <w:jc w:val="center"/>
              <w:rPr>
                <w:b/>
                <w:color w:val="FF0000"/>
                <w:sz w:val="20"/>
                <w:szCs w:val="20"/>
              </w:rPr>
            </w:pPr>
            <w:r>
              <w:rPr>
                <w:b/>
                <w:noProof/>
                <w:sz w:val="20"/>
                <w:szCs w:val="20"/>
              </w:rPr>
              <w:t>Thematic ex-ante conditionality</w:t>
            </w:r>
          </w:p>
        </w:tc>
        <w:tc>
          <w:tcPr/>
          <w:p w:rsidR="008D5009" w:rsidRPr="00B71360" w:rsidP="00426349">
            <w:pPr>
              <w:snapToGrid w:val="0"/>
              <w:spacing w:before="0" w:after="0"/>
              <w:jc w:val="center"/>
              <w:rPr>
                <w:b/>
                <w:color w:val="FF0000"/>
                <w:sz w:val="20"/>
                <w:szCs w:val="20"/>
              </w:rPr>
            </w:pPr>
            <w:r w:rsidRPr="00B71360">
              <w:rPr>
                <w:b/>
                <w:noProof/>
                <w:sz w:val="20"/>
                <w:szCs w:val="20"/>
              </w:rPr>
              <w:t>Criteria not fulfilled</w:t>
            </w:r>
          </w:p>
        </w:tc>
        <w:tc>
          <w:tcPr>
            <w:shd w:val="clear" w:color="auto" w:fill="auto"/>
          </w:tcPr>
          <w:p w:rsidR="008D5009" w:rsidRPr="00B71360" w:rsidP="00426349">
            <w:pPr>
              <w:snapToGrid w:val="0"/>
              <w:spacing w:before="0" w:after="0"/>
              <w:jc w:val="center"/>
              <w:rPr>
                <w:b/>
                <w:color w:val="FF0000"/>
                <w:sz w:val="20"/>
                <w:szCs w:val="20"/>
              </w:rPr>
            </w:pPr>
            <w:r w:rsidRPr="00B71360">
              <w:rPr>
                <w:b/>
                <w:noProof/>
                <w:sz w:val="20"/>
                <w:szCs w:val="20"/>
              </w:rPr>
              <w:t>Actions to be taken</w:t>
            </w:r>
          </w:p>
        </w:tc>
        <w:tc>
          <w:tcPr>
            <w:shd w:val="clear" w:color="auto" w:fill="auto"/>
          </w:tcPr>
          <w:p w:rsidR="008D5009" w:rsidRPr="00B71360" w:rsidP="00426349">
            <w:pPr>
              <w:snapToGrid w:val="0"/>
              <w:spacing w:before="0" w:after="0"/>
              <w:jc w:val="center"/>
              <w:rPr>
                <w:b/>
                <w:color w:val="FF0000"/>
                <w:sz w:val="20"/>
                <w:szCs w:val="20"/>
              </w:rPr>
            </w:pPr>
            <w:r w:rsidRPr="00B71360">
              <w:rPr>
                <w:b/>
                <w:noProof/>
                <w:sz w:val="20"/>
                <w:szCs w:val="20"/>
              </w:rPr>
              <w:t>Deadline (date)</w:t>
            </w:r>
          </w:p>
        </w:tc>
        <w:tc>
          <w:tcPr/>
          <w:p w:rsidR="008D5009" w:rsidRPr="00B71360" w:rsidP="00426349">
            <w:pPr>
              <w:snapToGrid w:val="0"/>
              <w:spacing w:before="0" w:after="0"/>
              <w:jc w:val="center"/>
              <w:rPr>
                <w:b/>
                <w:color w:val="FF0000"/>
                <w:sz w:val="20"/>
                <w:szCs w:val="20"/>
              </w:rPr>
            </w:pPr>
            <w:r w:rsidRPr="00B71360">
              <w:rPr>
                <w:b/>
                <w:noProof/>
                <w:sz w:val="20"/>
                <w:szCs w:val="20"/>
              </w:rPr>
              <w:t>Bodies responsible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Research and innovation: The existence of a national or regional smart specialisation strategy in line with the National Reform Program, to leverage private research and innovation expenditure, which complies with the features of well performing national or regional R&amp;I systems.</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contains a monitoring mechanism.</w:t>
            </w:r>
          </w:p>
        </w:tc>
        <w:tc>
          <w:tcPr>
            <w:shd w:val="clear" w:color="auto" w:fill="auto"/>
          </w:tcPr>
          <w:p w:rsidR="008D5009" w:rsidRPr="00B71360" w:rsidP="00426349">
            <w:pPr>
              <w:spacing w:before="0" w:after="0"/>
              <w:rPr>
                <w:sz w:val="20"/>
                <w:szCs w:val="20"/>
              </w:rPr>
            </w:pPr>
            <w:r w:rsidRPr="00B71360">
              <w:rPr>
                <w:noProof/>
                <w:sz w:val="20"/>
                <w:szCs w:val="20"/>
              </w:rPr>
              <w:t>2. Consiliul Național pentru Competitivitate (sau similar) este constituit și devine operațional, în calitate de organism interministerial de coordonare a politicilor publice pentru a promova competitivitatea economică</w:t>
            </w:r>
          </w:p>
        </w:tc>
        <w:tc>
          <w:tcPr>
            <w:shd w:val="clear" w:color="auto" w:fill="auto"/>
          </w:tcPr>
          <w:p w:rsidR="008D5009" w:rsidRPr="00B71360" w:rsidP="00426349">
            <w:pPr>
              <w:spacing w:before="0" w:after="0"/>
              <w:jc w:val="center"/>
              <w:rPr>
                <w:sz w:val="20"/>
                <w:szCs w:val="20"/>
              </w:rPr>
            </w:pPr>
            <w:r w:rsidRPr="00B71360">
              <w:rPr>
                <w:noProof/>
                <w:sz w:val="20"/>
                <w:szCs w:val="20"/>
              </w:rPr>
              <w:t>30-Jun-2015</w:t>
            </w:r>
          </w:p>
        </w:tc>
        <w:tc>
          <w:tcPr/>
          <w:p w:rsidR="008D5009" w:rsidRPr="00B71360" w:rsidP="00426349">
            <w:pPr>
              <w:spacing w:before="0" w:after="0"/>
              <w:rPr>
                <w:sz w:val="20"/>
                <w:szCs w:val="20"/>
              </w:rPr>
            </w:pPr>
            <w:r w:rsidRPr="00B71360">
              <w:rPr>
                <w:noProof/>
                <w:sz w:val="20"/>
                <w:szCs w:val="20"/>
              </w:rPr>
              <w:t>ME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Research and innovation: The existence of a national or regional smart specialisation strategy in line with the National Reform Program, to leverage private research and innovation expenditure, which complies with the features of well performing national or regional R&amp;I systems.</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contains a monitoring mechanism.</w:t>
            </w:r>
          </w:p>
        </w:tc>
        <w:tc>
          <w:tcPr>
            <w:shd w:val="clear" w:color="auto" w:fill="auto"/>
          </w:tcPr>
          <w:p w:rsidR="008D5009" w:rsidRPr="00B71360" w:rsidP="00426349">
            <w:pPr>
              <w:spacing w:before="0" w:after="0"/>
              <w:rPr>
                <w:sz w:val="20"/>
                <w:szCs w:val="20"/>
              </w:rPr>
            </w:pPr>
            <w:r w:rsidRPr="00B71360">
              <w:rPr>
                <w:noProof/>
                <w:sz w:val="20"/>
                <w:szCs w:val="20"/>
              </w:rPr>
              <w:t>3. Dezvoltarea de foi de parcurs actualizate pentru domeniile de specializare inteligenta, ca urmare a contribuției mecanismului de orientare strategică</w:t>
            </w:r>
          </w:p>
        </w:tc>
        <w:tc>
          <w:tcPr>
            <w:shd w:val="clear" w:color="auto" w:fill="auto"/>
          </w:tcPr>
          <w:p w:rsidR="008D5009" w:rsidRPr="00B71360" w:rsidP="00426349">
            <w:pPr>
              <w:spacing w:before="0" w:after="0"/>
              <w:jc w:val="center"/>
              <w:rPr>
                <w:sz w:val="20"/>
                <w:szCs w:val="20"/>
              </w:rPr>
            </w:pPr>
            <w:r w:rsidRPr="00B71360">
              <w:rPr>
                <w:noProof/>
                <w:sz w:val="20"/>
                <w:szCs w:val="20"/>
              </w:rPr>
              <w:t>30-Jun-2016</w:t>
            </w:r>
          </w:p>
        </w:tc>
        <w:tc>
          <w:tcPr/>
          <w:p w:rsidR="008D5009" w:rsidRPr="00B71360" w:rsidP="00426349">
            <w:pPr>
              <w:spacing w:before="0" w:after="0"/>
              <w:rPr>
                <w:sz w:val="20"/>
                <w:szCs w:val="20"/>
              </w:rPr>
            </w:pPr>
            <w:r w:rsidRPr="00B71360">
              <w:rPr>
                <w:noProof/>
                <w:sz w:val="20"/>
                <w:szCs w:val="20"/>
              </w:rPr>
              <w:t>MEN</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Research and innovation: The existence of a national or regional smart specialisation strategy in line with the National Reform Program, to leverage private research and innovation expenditure, which complies with the features of well performing national or regional R&amp;I systems.</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contains a monitoring mechanism.</w:t>
            </w:r>
          </w:p>
        </w:tc>
        <w:tc>
          <w:tcPr>
            <w:shd w:val="clear" w:color="auto" w:fill="auto"/>
          </w:tcPr>
          <w:p w:rsidR="008D5009" w:rsidRPr="00B71360" w:rsidP="00426349">
            <w:pPr>
              <w:spacing w:before="0" w:after="0"/>
              <w:rPr>
                <w:sz w:val="20"/>
                <w:szCs w:val="20"/>
              </w:rPr>
            </w:pPr>
            <w:r w:rsidRPr="00B71360">
              <w:rPr>
                <w:noProof/>
                <w:sz w:val="20"/>
                <w:szCs w:val="20"/>
              </w:rPr>
              <w:t>4. Consiliul Național pentru Competitivitate (sau similar) întocmește primul raport de monitorizare, inclusiv concluzii și recomandări, orientări strategice și operaționale pe termen mediu și lung</w:t>
            </w:r>
          </w:p>
        </w:tc>
        <w:tc>
          <w:tcPr>
            <w:shd w:val="clear" w:color="auto" w:fill="auto"/>
          </w:tcPr>
          <w:p w:rsidR="008D5009" w:rsidRPr="00B71360" w:rsidP="00426349">
            <w:pPr>
              <w:spacing w:before="0" w:after="0"/>
              <w:jc w:val="center"/>
              <w:rPr>
                <w:sz w:val="20"/>
                <w:szCs w:val="20"/>
              </w:rPr>
            </w:pPr>
            <w:r w:rsidRPr="00B71360">
              <w:rPr>
                <w:noProof/>
                <w:sz w:val="20"/>
                <w:szCs w:val="20"/>
              </w:rPr>
              <w:t>30-Jun-2016</w:t>
            </w:r>
          </w:p>
        </w:tc>
        <w:tc>
          <w:tcPr/>
          <w:p w:rsidR="008D5009" w:rsidRPr="00B71360" w:rsidP="00426349">
            <w:pPr>
              <w:spacing w:before="0" w:after="0"/>
              <w:rPr>
                <w:sz w:val="20"/>
                <w:szCs w:val="20"/>
              </w:rPr>
            </w:pPr>
            <w:r w:rsidRPr="00B71360">
              <w:rPr>
                <w:noProof/>
                <w:sz w:val="20"/>
                <w:szCs w:val="20"/>
              </w:rPr>
              <w:t>ME</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Research and innovation: The existence of a national or regional smart specialisation strategy in line with the National Reform Program, to leverage private research and innovation expenditure, which complies with the features of well performing national or regional R&amp;I systems.</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contains a monitoring mechanism.</w:t>
            </w:r>
          </w:p>
        </w:tc>
        <w:tc>
          <w:tcPr>
            <w:shd w:val="clear" w:color="auto" w:fill="auto"/>
          </w:tcPr>
          <w:p w:rsidR="008D5009" w:rsidRPr="00B71360" w:rsidP="00426349">
            <w:pPr>
              <w:spacing w:before="0" w:after="0"/>
              <w:rPr>
                <w:sz w:val="20"/>
                <w:szCs w:val="20"/>
              </w:rPr>
            </w:pPr>
            <w:r w:rsidRPr="00B71360">
              <w:rPr>
                <w:noProof/>
                <w:sz w:val="20"/>
                <w:szCs w:val="20"/>
              </w:rPr>
              <w:t>Pentru a îmbunătăți eficiența procesului de descoperire antreprenorial și creșterea gradului de integrare a sistemului de CDI în economia națională, următoarele măsuri vor fi puse în aplicare:</w:t>
            </w:r>
          </w:p>
          <w:p w:rsidR="008D5009" w:rsidRPr="00B71360" w:rsidP="00426349">
            <w:pPr>
              <w:spacing w:before="0" w:after="0"/>
              <w:rPr>
                <w:sz w:val="20"/>
                <w:szCs w:val="20"/>
              </w:rPr>
            </w:pPr>
            <w:r w:rsidRPr="00B71360">
              <w:rPr>
                <w:noProof/>
                <w:sz w:val="20"/>
                <w:szCs w:val="20"/>
              </w:rPr>
              <w:t>1. Mecanismul de orientare strategică propusă de SNCDI este operațional, și este format din:</w:t>
            </w:r>
          </w:p>
          <w:p w:rsidR="008D5009" w:rsidRPr="00B71360" w:rsidP="00426349">
            <w:pPr>
              <w:spacing w:before="0" w:after="0"/>
              <w:rPr>
                <w:sz w:val="20"/>
                <w:szCs w:val="20"/>
              </w:rPr>
            </w:pPr>
            <w:r w:rsidRPr="00B71360">
              <w:rPr>
                <w:noProof/>
                <w:sz w:val="20"/>
                <w:szCs w:val="20"/>
              </w:rPr>
              <w:t>a) organism desemnat (de exemplu, CNPSTI) responsabil cu coordonarea și facilitarea dezvoltării și punerii în aplicare a RIS3 în țară și în regiuni, asigurând participarea activă a părților interesate: afaceri, cercetare, societatea civilă, administrația;</w:t>
            </w:r>
          </w:p>
          <w:p w:rsidR="008D5009" w:rsidRPr="00B71360" w:rsidP="00426349">
            <w:pPr>
              <w:spacing w:before="0" w:after="0"/>
              <w:rPr>
                <w:sz w:val="20"/>
                <w:szCs w:val="20"/>
              </w:rPr>
            </w:pPr>
            <w:r w:rsidRPr="00B71360">
              <w:rPr>
                <w:noProof/>
                <w:sz w:val="20"/>
                <w:szCs w:val="20"/>
              </w:rPr>
              <w:t>b) cadru sistematic de colectare de date (observator economic, registru central de bune practici, instrumente analitice calitative și cantitative), pentru integrare și analiză, pentru a ajuta la adoptarea unor decizii mai bine fundamentate; acesta descrie şi modul în care  rezultatele monitorizării vor fi luate în considerare (de exemplu, metoda de evaluare de parcurs);</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30-Sep-2015</w:t>
            </w:r>
          </w:p>
        </w:tc>
        <w:tc>
          <w:tcPr/>
          <w:p w:rsidR="008D5009" w:rsidRPr="00B71360" w:rsidP="00426349">
            <w:pPr>
              <w:spacing w:before="0" w:after="0"/>
              <w:rPr>
                <w:sz w:val="20"/>
                <w:szCs w:val="20"/>
              </w:rPr>
            </w:pPr>
            <w:r w:rsidRPr="00B71360">
              <w:rPr>
                <w:noProof/>
                <w:sz w:val="20"/>
                <w:szCs w:val="20"/>
              </w:rPr>
              <w:t>MEN</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01.1</w:t>
            </w:r>
            <w:r w:rsidRPr="00B71360">
              <w:rPr>
                <w:sz w:val="20"/>
                <w:szCs w:val="20"/>
              </w:rPr>
              <w:t xml:space="preserve"> </w:t>
            </w:r>
            <w:r>
              <w:rPr>
                <w:sz w:val="20"/>
                <w:szCs w:val="20"/>
              </w:rPr>
              <w:t xml:space="preserve">- </w:t>
            </w:r>
            <w:r w:rsidRPr="00B71360">
              <w:rPr>
                <w:noProof/>
                <w:sz w:val="20"/>
                <w:szCs w:val="20"/>
              </w:rPr>
              <w:t>Research and innovation: The existence of a national or regional smart specialisation strategy in line with the National Reform Program, to leverage private research and innovation expenditure, which complies with the features of well performing national or regional R&amp;I systems.</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contains a monitoring mechanism.</w:t>
            </w:r>
          </w:p>
        </w:tc>
        <w:tc>
          <w:tcPr>
            <w:shd w:val="clear" w:color="auto" w:fill="auto"/>
          </w:tcPr>
          <w:p w:rsidR="008D5009" w:rsidRPr="00B71360" w:rsidP="00426349">
            <w:pPr>
              <w:spacing w:before="0" w:after="0"/>
              <w:rPr>
                <w:sz w:val="20"/>
                <w:szCs w:val="20"/>
              </w:rPr>
            </w:pPr>
            <w:r w:rsidRPr="00B71360">
              <w:rPr>
                <w:noProof/>
                <w:sz w:val="20"/>
                <w:szCs w:val="20"/>
              </w:rPr>
              <w:t>c) mecanism pentru asigurarea participării active a părților interesate la procesul continuu de identificare a oportunităților emergente de piață, care ar putea construi un avantaj competitiv pentru România sau regiunile sale, prin întâlnirea punctelor forte în domeniul cercetării cu nevoile mediului de afaceri;</w:t>
            </w:r>
          </w:p>
          <w:p w:rsidR="008D5009" w:rsidRPr="00B71360" w:rsidP="00426349">
            <w:pPr>
              <w:spacing w:before="0" w:after="0"/>
              <w:rPr>
                <w:sz w:val="20"/>
                <w:szCs w:val="20"/>
              </w:rPr>
            </w:pPr>
            <w:r w:rsidRPr="00B71360">
              <w:rPr>
                <w:noProof/>
                <w:sz w:val="20"/>
                <w:szCs w:val="20"/>
              </w:rPr>
              <w:t>d) este adoptat mecanismul de monitorizare detaliat, inclusiv indicatori selectați și structură de guvernare</w:t>
            </w:r>
          </w:p>
        </w:tc>
        <w:tc>
          <w:tcPr>
            <w:shd w:val="clear" w:color="auto" w:fill="auto"/>
          </w:tcPr>
          <w:p w:rsidR="008D5009" w:rsidRPr="00B71360" w:rsidP="00426349">
            <w:pPr>
              <w:spacing w:before="0" w:after="0"/>
              <w:jc w:val="center"/>
              <w:rPr>
                <w:sz w:val="20"/>
                <w:szCs w:val="20"/>
              </w:rPr>
            </w:pPr>
            <w:r w:rsidRPr="00B71360">
              <w:rPr>
                <w:noProof/>
                <w:sz w:val="20"/>
                <w:szCs w:val="20"/>
              </w:rPr>
              <w:t>30-Sep-2015</w:t>
            </w:r>
          </w:p>
        </w:tc>
        <w:tc>
          <w:tcPr/>
          <w:p w:rsidR="008D5009" w:rsidRPr="00B71360" w:rsidP="00426349">
            <w:pPr>
              <w:spacing w:before="0" w:after="0"/>
              <w:rPr>
                <w:sz w:val="20"/>
                <w:szCs w:val="20"/>
              </w:rPr>
            </w:pPr>
            <w:r w:rsidRPr="00B71360">
              <w:rPr>
                <w:noProof/>
                <w:sz w:val="20"/>
                <w:szCs w:val="20"/>
              </w:rPr>
              <w:t>MEN</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01.2</w:t>
            </w:r>
            <w:r w:rsidRPr="00B71360">
              <w:rPr>
                <w:sz w:val="20"/>
                <w:szCs w:val="20"/>
              </w:rPr>
              <w:t xml:space="preserve"> </w:t>
            </w:r>
            <w:r>
              <w:rPr>
                <w:sz w:val="20"/>
                <w:szCs w:val="20"/>
              </w:rPr>
              <w:t xml:space="preserve">- </w:t>
            </w:r>
            <w:r w:rsidRPr="00B71360">
              <w:rPr>
                <w:noProof/>
                <w:sz w:val="20"/>
                <w:szCs w:val="20"/>
              </w:rPr>
              <w:t>Research and Innovation infrastructure. The existence of a multi annual plan for budgeting and prioritisation of investments.</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An indicative multi-annual plan for budgeting and prioritisation of investments linked to Union priorities, and, where appropriate, the European Strategy Forum on Research Infrastructures (ESFRI) has been adopted.</w:t>
            </w:r>
          </w:p>
        </w:tc>
        <w:tc>
          <w:tcPr>
            <w:shd w:val="clear" w:color="auto" w:fill="auto"/>
          </w:tcPr>
          <w:p w:rsidR="008D5009" w:rsidRPr="00B71360" w:rsidP="00426349">
            <w:pPr>
              <w:spacing w:before="0" w:after="0"/>
              <w:rPr>
                <w:sz w:val="20"/>
                <w:szCs w:val="20"/>
              </w:rPr>
            </w:pPr>
            <w:r w:rsidRPr="00B71360">
              <w:rPr>
                <w:noProof/>
                <w:sz w:val="20"/>
                <w:szCs w:val="20"/>
              </w:rPr>
              <w:t>Cadrul multianual pentru resursele bugetare disponibile pentru cercetare şi inovare este parte din SNCDI. Pe baza acestei estimări a cadrului bugetar, investițiile din infrastructura de CDI vor fi prioritizate.</w:t>
            </w:r>
          </w:p>
          <w:p w:rsidR="008D5009" w:rsidRPr="00B71360" w:rsidP="00426349">
            <w:pPr>
              <w:spacing w:before="0" w:after="0"/>
              <w:rPr>
                <w:sz w:val="20"/>
                <w:szCs w:val="20"/>
              </w:rPr>
            </w:pPr>
          </w:p>
          <w:p w:rsidR="008D5009" w:rsidRPr="00B71360" w:rsidP="00426349">
            <w:pPr>
              <w:spacing w:before="0" w:after="0"/>
              <w:rPr>
                <w:sz w:val="20"/>
                <w:szCs w:val="20"/>
              </w:rPr>
            </w:pPr>
            <w:r w:rsidRPr="00B71360">
              <w:rPr>
                <w:noProof/>
                <w:sz w:val="20"/>
                <w:szCs w:val="20"/>
              </w:rPr>
              <w:t>Pentru a îmbunătăți eficiența procesului de prioritizare lista infrastructurilor de cercetare naționale va fi actualizata:</w:t>
            </w:r>
          </w:p>
          <w:p w:rsidR="008D5009" w:rsidRPr="00B71360" w:rsidP="00426349">
            <w:pPr>
              <w:spacing w:before="0" w:after="0"/>
              <w:rPr>
                <w:sz w:val="20"/>
                <w:szCs w:val="20"/>
              </w:rPr>
            </w:pPr>
            <w:r w:rsidRPr="00B71360">
              <w:rPr>
                <w:noProof/>
                <w:sz w:val="20"/>
                <w:szCs w:val="20"/>
              </w:rPr>
              <w:t>- Lista de infrastructuri de cercetare naționale ("foaie de parcurs națională") este actualizata.</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31-Dec-2015</w:t>
            </w:r>
          </w:p>
        </w:tc>
        <w:tc>
          <w:tcPr/>
          <w:p w:rsidR="008D5009" w:rsidRPr="00B71360" w:rsidP="00426349">
            <w:pPr>
              <w:spacing w:before="0" w:after="0"/>
              <w:rPr>
                <w:sz w:val="20"/>
                <w:szCs w:val="20"/>
              </w:rPr>
            </w:pPr>
            <w:r w:rsidRPr="00B71360">
              <w:rPr>
                <w:noProof/>
                <w:sz w:val="20"/>
                <w:szCs w:val="20"/>
              </w:rPr>
              <w:t>MEN</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 growth: A strategic policy framework for digital growth to stimulate affordable, good quality and interoperable ICT enabled private and public services and increase uptake by citizens, including vulnerable groups, businesses and public administrations including cross border initiatives.</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A strategic policy framework for digital growth, for instance, within the national or regional smart specialisation strategy is in place that contains:</w:t>
            </w:r>
          </w:p>
        </w:tc>
        <w:tc>
          <w:tcPr>
            <w:shd w:val="clear" w:color="auto" w:fill="auto"/>
          </w:tcPr>
          <w:p w:rsidR="008D5009" w:rsidRPr="00B71360" w:rsidP="00426349">
            <w:pPr>
              <w:spacing w:before="0" w:after="0"/>
              <w:rPr>
                <w:sz w:val="20"/>
                <w:szCs w:val="20"/>
              </w:rPr>
            </w:pPr>
            <w:r w:rsidRPr="00B71360">
              <w:rPr>
                <w:noProof/>
                <w:sz w:val="20"/>
                <w:szCs w:val="20"/>
              </w:rPr>
              <w:t>- Elaborarea proiectului de act normativ pentru aprobarea strategiei;</w:t>
            </w:r>
          </w:p>
          <w:p w:rsidR="008D5009" w:rsidRPr="00B71360" w:rsidP="00426349">
            <w:pPr>
              <w:spacing w:before="0" w:after="0"/>
              <w:rPr>
                <w:sz w:val="20"/>
                <w:szCs w:val="20"/>
              </w:rPr>
            </w:pPr>
            <w:r w:rsidRPr="00B71360">
              <w:rPr>
                <w:noProof/>
                <w:sz w:val="20"/>
                <w:szCs w:val="20"/>
              </w:rPr>
              <w:t>- Aprobarea de către Guvern a  actului normativ (HG) şi publicarea în Monitorul Oficial al României.</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30-Jan-2015</w:t>
            </w:r>
          </w:p>
        </w:tc>
        <w:tc>
          <w:tcPr/>
          <w:p w:rsidR="008D5009" w:rsidRPr="00B71360" w:rsidP="00426349">
            <w:pPr>
              <w:spacing w:before="0" w:after="0"/>
              <w:rPr>
                <w:sz w:val="20"/>
                <w:szCs w:val="20"/>
              </w:rPr>
            </w:pPr>
            <w:r w:rsidRPr="00B71360">
              <w:rPr>
                <w:noProof/>
                <w:sz w:val="20"/>
                <w:szCs w:val="20"/>
              </w:rPr>
              <w:t>MSI</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 growth: A strategic policy framework for digital growth to stimulate affordable, good quality and interoperable ICT enabled private and public services and increase uptake by citizens, including vulnerable groups, businesses and public administrations including cross border initiatives.</w:t>
            </w:r>
          </w:p>
        </w:tc>
        <w:tc>
          <w:tcPr/>
          <w:p w:rsidR="008D5009" w:rsidRPr="00B71360" w:rsidP="00426349">
            <w:pPr>
              <w:spacing w:before="0" w:after="0"/>
              <w:rPr>
                <w:sz w:val="20"/>
                <w:szCs w:val="20"/>
              </w:rPr>
            </w:pPr>
            <w:r>
              <w:rPr>
                <w:noProof/>
                <w:sz w:val="20"/>
                <w:szCs w:val="20"/>
              </w:rPr>
              <w:t>4</w:t>
            </w:r>
            <w:r>
              <w:rPr>
                <w:sz w:val="20"/>
                <w:szCs w:val="20"/>
              </w:rPr>
              <w:t xml:space="preserve"> - </w:t>
            </w:r>
            <w:r w:rsidRPr="00B71360">
              <w:rPr>
                <w:noProof/>
                <w:sz w:val="20"/>
                <w:szCs w:val="20"/>
              </w:rPr>
              <w:t>indicators to measure progress of interventions in areas such as digital literacy, e-inclusion, e-accessibility, and progress of e-health within the limits of Article 168 TFEU which are aligned, where appropriate, with existing relevant sectoral Union, national or regional strategies;</w:t>
            </w:r>
          </w:p>
        </w:tc>
        <w:tc>
          <w:tcPr>
            <w:shd w:val="clear" w:color="auto" w:fill="auto"/>
          </w:tcPr>
          <w:p w:rsidR="008D5009" w:rsidRPr="00B71360" w:rsidP="00426349">
            <w:pPr>
              <w:spacing w:before="0" w:after="0"/>
              <w:rPr>
                <w:sz w:val="20"/>
                <w:szCs w:val="20"/>
              </w:rPr>
            </w:pPr>
            <w:r w:rsidRPr="00B71360">
              <w:rPr>
                <w:noProof/>
                <w:sz w:val="20"/>
                <w:szCs w:val="20"/>
              </w:rPr>
              <w:t>Contract de asistenta tehnica cu Banca Mondiala, ale cărui activitati principale sunt:</w:t>
            </w:r>
          </w:p>
          <w:p w:rsidR="008D5009" w:rsidRPr="00B71360" w:rsidP="00426349">
            <w:pPr>
              <w:spacing w:before="0" w:after="0"/>
              <w:rPr>
                <w:sz w:val="20"/>
                <w:szCs w:val="20"/>
              </w:rPr>
            </w:pPr>
            <w:r w:rsidRPr="00B71360">
              <w:rPr>
                <w:noProof/>
                <w:sz w:val="20"/>
                <w:szCs w:val="20"/>
              </w:rPr>
              <w:t>–</w:t>
              <w:tab/>
              <w:t>Realizarea manualului de monitorizare si evaluare prevăzut in Strategia pentru Agenda Digitala Romania 2014-20, inclusiv identificarea de soluții pentru cadrul instituțional adecvat si operaționalizarea acestuia.</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31-Jan-2015</w:t>
            </w:r>
          </w:p>
        </w:tc>
        <w:tc>
          <w:tcPr/>
          <w:p w:rsidR="008D5009" w:rsidRPr="00B71360" w:rsidP="00426349">
            <w:pPr>
              <w:spacing w:before="0" w:after="0"/>
              <w:rPr>
                <w:sz w:val="20"/>
                <w:szCs w:val="20"/>
              </w:rPr>
            </w:pPr>
            <w:r w:rsidRPr="00B71360">
              <w:rPr>
                <w:noProof/>
                <w:sz w:val="20"/>
                <w:szCs w:val="20"/>
              </w:rPr>
              <w:t>MSI</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02.1</w:t>
            </w:r>
            <w:r w:rsidRPr="00B71360">
              <w:rPr>
                <w:sz w:val="20"/>
                <w:szCs w:val="20"/>
              </w:rPr>
              <w:t xml:space="preserve"> </w:t>
            </w:r>
            <w:r>
              <w:rPr>
                <w:sz w:val="20"/>
                <w:szCs w:val="20"/>
              </w:rPr>
              <w:t xml:space="preserve">- </w:t>
            </w:r>
            <w:r w:rsidRPr="00B71360">
              <w:rPr>
                <w:noProof/>
                <w:sz w:val="20"/>
                <w:szCs w:val="20"/>
              </w:rPr>
              <w:t>Digital growth: A strategic policy framework for digital growth to stimulate affordable, good quality and interoperable ICT enabled private and public services and increase uptake by citizens, including vulnerable groups, businesses and public administrations including cross border initiatives.</w:t>
            </w:r>
          </w:p>
        </w:tc>
        <w:tc>
          <w:tcPr/>
          <w:p w:rsidR="008D5009" w:rsidRPr="00B71360" w:rsidP="00426349">
            <w:pPr>
              <w:spacing w:before="0" w:after="0"/>
              <w:rPr>
                <w:sz w:val="20"/>
                <w:szCs w:val="20"/>
              </w:rPr>
            </w:pPr>
            <w:r>
              <w:rPr>
                <w:noProof/>
                <w:sz w:val="20"/>
                <w:szCs w:val="20"/>
              </w:rPr>
              <w:t>5</w:t>
            </w:r>
            <w:r>
              <w:rPr>
                <w:sz w:val="20"/>
                <w:szCs w:val="20"/>
              </w:rPr>
              <w:t xml:space="preserve"> - </w:t>
            </w:r>
            <w:r w:rsidRPr="00B71360">
              <w:rPr>
                <w:noProof/>
                <w:sz w:val="20"/>
                <w:szCs w:val="20"/>
              </w:rPr>
              <w:t>assessment of needs to reinforce ICT capacity-building.</w:t>
            </w:r>
          </w:p>
        </w:tc>
        <w:tc>
          <w:tcPr>
            <w:shd w:val="clear" w:color="auto" w:fill="auto"/>
          </w:tcPr>
          <w:p w:rsidR="008D5009" w:rsidRPr="00B71360" w:rsidP="00426349">
            <w:pPr>
              <w:spacing w:before="0" w:after="0"/>
              <w:rPr>
                <w:sz w:val="20"/>
                <w:szCs w:val="20"/>
              </w:rPr>
            </w:pPr>
            <w:r w:rsidRPr="00B71360">
              <w:rPr>
                <w:noProof/>
                <w:sz w:val="20"/>
                <w:szCs w:val="20"/>
              </w:rPr>
              <w:t>Crearea unității de gestiune a arhitecturii guvernamentale integrate IT, ca organism de dezvoltare si gestiune a arhitecturii si a serviciilor publice electronice in administrația publica centrala si locala, ca premisa pentru modernizarea serviciilor legate de evenimentele de viața identificate in Strategia pentru Agenda Digitala Romania 2014-20.</w:t>
            </w:r>
          </w:p>
          <w:p w:rsidR="008D5009" w:rsidRPr="00B71360" w:rsidP="00426349">
            <w:pPr>
              <w:spacing w:before="0" w:after="0"/>
              <w:rPr>
                <w:sz w:val="20"/>
                <w:szCs w:val="20"/>
              </w:rPr>
            </w:pPr>
            <w:r w:rsidRPr="00B71360">
              <w:rPr>
                <w:noProof/>
                <w:sz w:val="20"/>
                <w:szCs w:val="20"/>
              </w:rPr>
              <w:t>Elaborarea modelului de arhitectura guvernamentala integrata IT si a cadrului național de interoperabilitate, ca premisa pentru modernizarea serviciilor legate de evenimentele de viața identificate in Strategia pentru Agenda Digitala Romania 2014-2020.</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31-Dec-2015</w:t>
            </w:r>
          </w:p>
        </w:tc>
        <w:tc>
          <w:tcPr/>
          <w:p w:rsidR="008D5009" w:rsidRPr="00B71360" w:rsidP="00426349">
            <w:pPr>
              <w:spacing w:before="0" w:after="0"/>
              <w:rPr>
                <w:sz w:val="20"/>
                <w:szCs w:val="20"/>
              </w:rPr>
            </w:pPr>
            <w:r w:rsidRPr="00B71360">
              <w:rPr>
                <w:noProof/>
                <w:sz w:val="20"/>
                <w:szCs w:val="20"/>
              </w:rPr>
              <w:t>MSI</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Next Generation Network (NGN) Infrastructure: The existence of national or regional NGN Plans which take account of regional actions in order to reach the Union high speed Internet access targets, focusing on areas where the market fails to provide an open infrastructure at an affordable cost and of a quality in line with the Union competition and State aid rules, and to provide accessible services to vulnerable groups.</w:t>
            </w:r>
          </w:p>
        </w:tc>
        <w:tc>
          <w:tcPr/>
          <w:p w:rsidR="008D5009" w:rsidRPr="00B71360" w:rsidP="00426349">
            <w:pPr>
              <w:spacing w:before="0" w:after="0"/>
              <w:rPr>
                <w:sz w:val="20"/>
                <w:szCs w:val="20"/>
              </w:rPr>
            </w:pPr>
            <w:r>
              <w:rPr>
                <w:noProof/>
                <w:sz w:val="20"/>
                <w:szCs w:val="20"/>
              </w:rPr>
              <w:t>1</w:t>
            </w:r>
            <w:r>
              <w:rPr>
                <w:sz w:val="20"/>
                <w:szCs w:val="20"/>
              </w:rPr>
              <w:t xml:space="preserve"> - </w:t>
            </w:r>
            <w:r w:rsidRPr="00B71360">
              <w:rPr>
                <w:noProof/>
                <w:sz w:val="20"/>
                <w:szCs w:val="20"/>
              </w:rPr>
              <w:t>A national or regional NGN Plan is in place that contains:</w:t>
            </w:r>
          </w:p>
        </w:tc>
        <w:tc>
          <w:tcPr>
            <w:shd w:val="clear" w:color="auto" w:fill="auto"/>
          </w:tcPr>
          <w:p w:rsidR="008D5009" w:rsidRPr="00B71360" w:rsidP="00426349">
            <w:pPr>
              <w:spacing w:before="0" w:after="0"/>
              <w:rPr>
                <w:sz w:val="20"/>
                <w:szCs w:val="20"/>
              </w:rPr>
            </w:pPr>
            <w:r w:rsidRPr="00B71360">
              <w:rPr>
                <w:noProof/>
                <w:sz w:val="20"/>
                <w:szCs w:val="20"/>
              </w:rPr>
              <w:t>Elaborarea proiectului de act normativ pentru aprobarea Planului NGN;</w:t>
            </w:r>
          </w:p>
          <w:p w:rsidR="008D5009" w:rsidRPr="00B71360" w:rsidP="00426349">
            <w:pPr>
              <w:spacing w:before="0" w:after="0"/>
              <w:rPr>
                <w:sz w:val="20"/>
                <w:szCs w:val="20"/>
              </w:rPr>
            </w:pPr>
            <w:r w:rsidRPr="00B71360">
              <w:rPr>
                <w:noProof/>
                <w:sz w:val="20"/>
                <w:szCs w:val="20"/>
              </w:rPr>
              <w:t>Aprobarea de către Guvern a  actului normativ (HG) şi publicarea în Monitorul Oficial al României.</w:t>
            </w:r>
          </w:p>
          <w:p w:rsidR="008D5009" w:rsidRPr="00B71360" w:rsidP="00426349">
            <w:pPr>
              <w:spacing w:before="0" w:after="0"/>
              <w:rPr>
                <w:sz w:val="20"/>
                <w:szCs w:val="20"/>
              </w:rPr>
            </w:pPr>
          </w:p>
        </w:tc>
        <w:tc>
          <w:tcPr>
            <w:shd w:val="clear" w:color="auto" w:fill="auto"/>
          </w:tcPr>
          <w:p w:rsidR="008D5009" w:rsidRPr="00B71360" w:rsidP="00426349">
            <w:pPr>
              <w:spacing w:before="0" w:after="0"/>
              <w:jc w:val="center"/>
              <w:rPr>
                <w:sz w:val="20"/>
                <w:szCs w:val="20"/>
              </w:rPr>
            </w:pPr>
            <w:r w:rsidRPr="00B71360">
              <w:rPr>
                <w:noProof/>
                <w:sz w:val="20"/>
                <w:szCs w:val="20"/>
              </w:rPr>
              <w:t>30-Jan-2015</w:t>
            </w:r>
          </w:p>
        </w:tc>
        <w:tc>
          <w:tcPr/>
          <w:p w:rsidR="008D5009" w:rsidRPr="00B71360" w:rsidP="00426349">
            <w:pPr>
              <w:spacing w:before="0" w:after="0"/>
              <w:rPr>
                <w:sz w:val="20"/>
                <w:szCs w:val="20"/>
              </w:rPr>
            </w:pPr>
            <w:r w:rsidRPr="00B71360">
              <w:rPr>
                <w:noProof/>
                <w:sz w:val="20"/>
                <w:szCs w:val="20"/>
              </w:rPr>
              <w:t>MSI</w:t>
            </w:r>
          </w:p>
        </w:tc>
      </w:tr>
      <w:tr w:rsidTr="00426349">
        <w:tblPrEx>
          <w:tblW w:w="5000" w:type="pct"/>
          <w:tblLook w:val="0020"/>
        </w:tblPrEx>
        <w:trPr>
          <w:trHeight w:val="493"/>
        </w:trPr>
        <w:tc>
          <w:tcPr>
            <w:shd w:val="clear" w:color="auto" w:fill="auto"/>
          </w:tcPr>
          <w:p w:rsidR="008D5009" w:rsidRPr="00B71360" w:rsidP="00426349">
            <w:pPr>
              <w:spacing w:before="0" w:after="0"/>
              <w:rPr>
                <w:sz w:val="20"/>
                <w:szCs w:val="20"/>
              </w:rPr>
            </w:pPr>
            <w:r w:rsidRPr="00B71360">
              <w:rPr>
                <w:noProof/>
                <w:sz w:val="20"/>
                <w:szCs w:val="20"/>
              </w:rPr>
              <w:t>T</w:t>
            </w:r>
            <w:r w:rsidRPr="00B71360">
              <w:rPr>
                <w:sz w:val="20"/>
                <w:szCs w:val="20"/>
              </w:rPr>
              <w:t>.</w:t>
            </w:r>
            <w:r w:rsidRPr="00B71360">
              <w:rPr>
                <w:noProof/>
                <w:sz w:val="20"/>
                <w:szCs w:val="20"/>
              </w:rPr>
              <w:t>02.2</w:t>
            </w:r>
            <w:r w:rsidRPr="00B71360">
              <w:rPr>
                <w:sz w:val="20"/>
                <w:szCs w:val="20"/>
              </w:rPr>
              <w:t xml:space="preserve"> </w:t>
            </w:r>
            <w:r>
              <w:rPr>
                <w:sz w:val="20"/>
                <w:szCs w:val="20"/>
              </w:rPr>
              <w:t xml:space="preserve">- </w:t>
            </w:r>
            <w:r w:rsidRPr="00B71360">
              <w:rPr>
                <w:noProof/>
                <w:sz w:val="20"/>
                <w:szCs w:val="20"/>
              </w:rPr>
              <w:t>Next Generation Network (NGN) Infrastructure: The existence of national or regional NGN Plans which take account of regional actions in order to reach the Union high speed Internet access targets, focusing on areas where the market fails to provide an open infrastructure at an affordable cost and of a quality in line with the Union competition and State aid rules, and to provide accessible services to vulnerable groups.</w:t>
            </w:r>
          </w:p>
        </w:tc>
        <w:tc>
          <w:tcPr/>
          <w:p w:rsidR="008D5009" w:rsidRPr="00B71360" w:rsidP="00426349">
            <w:pPr>
              <w:spacing w:before="0" w:after="0"/>
              <w:rPr>
                <w:sz w:val="20"/>
                <w:szCs w:val="20"/>
              </w:rPr>
            </w:pPr>
            <w:r>
              <w:rPr>
                <w:noProof/>
                <w:sz w:val="20"/>
                <w:szCs w:val="20"/>
              </w:rPr>
              <w:t>2</w:t>
            </w:r>
            <w:r>
              <w:rPr>
                <w:sz w:val="20"/>
                <w:szCs w:val="20"/>
              </w:rPr>
              <w:t xml:space="preserve"> - </w:t>
            </w:r>
            <w:r w:rsidRPr="00B71360">
              <w:rPr>
                <w:noProof/>
                <w:sz w:val="20"/>
                <w:szCs w:val="20"/>
              </w:rPr>
              <w:t>a plan of infrastructure investments based on an economic analysis taking account of existing private and public infrastructures and planned investments;</w:t>
            </w:r>
          </w:p>
        </w:tc>
        <w:tc>
          <w:tcPr>
            <w:shd w:val="clear" w:color="auto" w:fill="auto"/>
          </w:tcPr>
          <w:p w:rsidR="008D5009" w:rsidRPr="00B71360" w:rsidP="00426349">
            <w:pPr>
              <w:spacing w:before="0" w:after="0"/>
              <w:rPr>
                <w:sz w:val="20"/>
                <w:szCs w:val="20"/>
              </w:rPr>
            </w:pPr>
            <w:r w:rsidRPr="00B71360">
              <w:rPr>
                <w:noProof/>
                <w:sz w:val="20"/>
                <w:szCs w:val="20"/>
              </w:rPr>
              <w:t>Elaborarea listei cu investițiile prioritare pe baza consultării operatorilor, a harții digitale realizata de ANCOM și a unor studii de fezabilitate.</w:t>
            </w:r>
          </w:p>
        </w:tc>
        <w:tc>
          <w:tcPr>
            <w:shd w:val="clear" w:color="auto" w:fill="auto"/>
          </w:tcPr>
          <w:p w:rsidR="008D5009" w:rsidRPr="00B71360" w:rsidP="00426349">
            <w:pPr>
              <w:spacing w:before="0" w:after="0"/>
              <w:jc w:val="center"/>
              <w:rPr>
                <w:sz w:val="20"/>
                <w:szCs w:val="20"/>
              </w:rPr>
            </w:pPr>
            <w:r w:rsidRPr="00B71360">
              <w:rPr>
                <w:noProof/>
                <w:sz w:val="20"/>
                <w:szCs w:val="20"/>
              </w:rPr>
              <w:t>31-May-2015</w:t>
            </w:r>
          </w:p>
        </w:tc>
        <w:tc>
          <w:tcPr/>
          <w:p w:rsidR="008D5009" w:rsidRPr="00B71360" w:rsidP="00426349">
            <w:pPr>
              <w:spacing w:before="0" w:after="0"/>
              <w:rPr>
                <w:sz w:val="20"/>
                <w:szCs w:val="20"/>
              </w:rPr>
            </w:pPr>
            <w:r w:rsidRPr="00B71360">
              <w:rPr>
                <w:noProof/>
                <w:sz w:val="20"/>
                <w:szCs w:val="20"/>
              </w:rPr>
              <w:t>MSI</w:t>
            </w:r>
          </w:p>
        </w:tc>
      </w:tr>
    </w:tbl>
    <w:p w:rsidR="008D5009" w:rsidP="008D5009">
      <w:pPr>
        <w:pStyle w:val="Heading1"/>
        <w:numPr>
          <w:ilvl w:val="0"/>
          <w:numId w:val="15"/>
        </w:numPr>
        <w:tabs>
          <w:tab w:val="num" w:pos="850"/>
          <w:tab w:val="clear" w:pos="992"/>
        </w:tabs>
        <w:spacing w:before="0" w:after="0"/>
        <w:ind w:left="850"/>
        <w:jc w:val="left"/>
        <w:sectPr w:rsidSect="00426349">
          <w:headerReference w:type="default" r:id="rId21"/>
          <w:footerReference w:type="default" r:id="rId22"/>
          <w:headerReference w:type="first" r:id="rId23"/>
          <w:footerReference w:type="first" r:id="rId24"/>
          <w:pgSz w:w="16838" w:h="11906" w:orient="landscape"/>
          <w:pgMar w:top="1584" w:right="1022" w:bottom="1699" w:left="1022" w:header="283" w:footer="283" w:gutter="0"/>
          <w:cols w:space="708"/>
          <w:docGrid w:linePitch="360"/>
        </w:sectPr>
      </w:pPr>
    </w:p>
    <w:p w:rsidR="008D5009" w:rsidP="008D5009">
      <w:pPr>
        <w:pStyle w:val="Heading1"/>
        <w:numPr>
          <w:ilvl w:val="0"/>
          <w:numId w:val="0"/>
        </w:numPr>
        <w:spacing w:before="0" w:after="0"/>
      </w:pPr>
      <w:bookmarkStart w:id="248" w:name="_Toc256000121"/>
      <w:r>
        <w:rPr>
          <w:noProof/>
        </w:rPr>
        <w:t>10. REDUCTION OF ADMINISTRATIVE BURDEN FOR BENEFICIARIES</w:t>
      </w:r>
      <w:bookmarkEnd w:id="248"/>
    </w:p>
    <w:p w:rsidR="008D5009" w:rsidRPr="00BF3391" w:rsidP="008D5009">
      <w:pPr>
        <w:pStyle w:val="Text1"/>
        <w:spacing w:before="0" w:after="0"/>
        <w:ind w:left="0"/>
      </w:pPr>
      <w:r>
        <w:rPr>
          <w:noProof/>
        </w:rPr>
        <w:t>Summary of the assessment of the administrative burden for beneficiaries and, where necessary, the actions planned accompanied by an indicative timeframe to reduce administrative burden.</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Începând cu anul  2013, la nivelul AM au fost adoptate măsuri pentru reducerea costurilor administrative care au avut impact inclusiv asupra creșterii absorbției fondurilor structurale:</w:t>
      </w:r>
    </w:p>
    <w:p>
      <w:pPr>
        <w:numPr>
          <w:ilvl w:val="0"/>
          <w:numId w:val="60"/>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stabilirea unui interval de 20 de zile pentru procesarea cererilor de plată</w:t>
      </w:r>
    </w:p>
    <w:p>
      <w:pPr>
        <w:numPr>
          <w:ilvl w:val="0"/>
          <w:numId w:val="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instituirea unui mecanism de decontare a cererilor de plată, care permite îmbunătățirea fluxului financiar la nivelul beneficiarilor</w:t>
      </w:r>
    </w:p>
    <w:p>
      <w:pPr>
        <w:numPr>
          <w:ilvl w:val="0"/>
          <w:numId w:val="60"/>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utilizarea unei procedurii simplificate pentru atribuirea contractelor de furnizare bunuri, servicii sau lucrări, la nivelul beneficiarilor privați</w:t>
      </w:r>
    </w:p>
    <w:p>
      <w:pPr>
        <w:numPr>
          <w:ilvl w:val="0"/>
          <w:numId w:val="60"/>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elaborarea unui ghid privind principalele riscuri identificate în achizițiile publice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Prin PO AT 2007-2013 a fost finanțat  un studiu intitulat ”</w:t>
      </w:r>
      <w:r>
        <w:rPr>
          <w:rFonts w:ascii="Times New Roman" w:eastAsia="Times New Roman" w:hAnsi="Times New Roman" w:cs="Times New Roman"/>
          <w:i/>
          <w:iCs/>
        </w:rPr>
        <w:t>Evaluarea sarcinilor administrative asupra beneficiarilor Fondurilor Structurale si de Investiţii</w:t>
      </w:r>
      <w:r>
        <w:rPr>
          <w:rFonts w:ascii="Times New Roman" w:eastAsia="Times New Roman" w:hAnsi="Times New Roman" w:cs="Times New Roman"/>
        </w:rPr>
        <w:t>”</w:t>
      </w:r>
      <w:r>
        <w:rPr>
          <w:rFonts w:ascii="Times New Roman" w:eastAsia="Times New Roman" w:hAnsi="Times New Roman" w:cs="Times New Roman"/>
          <w:b/>
          <w:bCs/>
        </w:rPr>
        <w:t xml:space="preserve">, </w:t>
      </w:r>
      <w:r>
        <w:rPr>
          <w:rFonts w:ascii="Times New Roman" w:eastAsia="Times New Roman" w:hAnsi="Times New Roman" w:cs="Times New Roman"/>
        </w:rPr>
        <w:t>care a analizat sarcinile administrative, datorate obligațiilor de informare care decurg din aplicarea legislației europene la nivel național, precum și a activităților administrative care sunt necesare pentru a respecta aceste obligații. Pe această bază au fost calculate costurile administrative suportate de beneficiarii privați, utilizându-se o variantă simplificată a Modelul Costului Standard.</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Pentru POS CCE 2007-2013, studiul a estimat că valoarea costurilor administrative a fost de aprox. 88,36 mil. Euro, ceea ce reprezintă cca. 3,5% din alocarea FEDR pentru acest program. Cele mai împovărătoare sarcini (din punct de vedere administrativ şi financiar) au fost cele legate de completarea dosarului cererii de finanțare (25,45%), semnarea contractului de finanţare (13,74%) şi cererile de rambursare (47,73%).</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Ca urmare a analizei recomandărilor formulate prin proiectul de evaluare, au fost stabilite o serie de masuri (grupate pe etapele de derulare a unui proiectare), prin implementarea lor, pot contribui la reducerea efectivă a sarcinilor administrative asupra beneficiarilor, după cum urmează:</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Cerere de finanțare</w:t>
      </w:r>
    </w:p>
    <w:p>
      <w:pPr>
        <w:numPr>
          <w:ilvl w:val="0"/>
          <w:numId w:val="61"/>
        </w:numPr>
        <w:spacing w:before="240" w:after="240"/>
        <w:ind w:left="720" w:hanging="280"/>
        <w:jc w:val="left"/>
        <w:rPr>
          <w:rFonts w:ascii="Times New Roman" w:eastAsia="Times New Roman" w:hAnsi="Times New Roman" w:cs="Times New Roman"/>
        </w:rPr>
      </w:pPr>
      <w:r>
        <w:rPr>
          <w:rFonts w:ascii="Times New Roman" w:eastAsia="Times New Roman" w:hAnsi="Times New Roman" w:cs="Times New Roman"/>
        </w:rPr>
        <w:t>Reducerea numărului de documente solicitate în etapa depunerii cererii de finanțare, prin:</w:t>
      </w:r>
    </w:p>
    <w:p>
      <w:pPr>
        <w:numPr>
          <w:ilvl w:val="0"/>
          <w:numId w:val="6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solicitarea unei declarații pe propria răspundere pentru unele documente, care vor fi aduse numai în faza de contractare</w:t>
      </w:r>
    </w:p>
    <w:p>
      <w:pPr>
        <w:numPr>
          <w:ilvl w:val="0"/>
          <w:numId w:val="6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realizarea de protocoale cu autoritățile publice pentru interconectarea bazelor de date </w:t>
      </w:r>
    </w:p>
    <w:p>
      <w:pPr>
        <w:numPr>
          <w:ilvl w:val="0"/>
          <w:numId w:val="6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introducerea, acolo unde este posibil, a unei etape de pre-calificare (depunerea ideii de proiect), pentru  o selecție bazată pe criteriile strategice de eligibilitate și chiar de capacitate de implementare</w:t>
      </w:r>
    </w:p>
    <w:p>
      <w:pPr>
        <w:numPr>
          <w:ilvl w:val="0"/>
          <w:numId w:val="63"/>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Publicarea până la sfârșitul fiecărui an a calendarului cererilor de proiecte planificate pentru anul următor și actualizări trimestriale ale acestui calendar</w:t>
      </w:r>
    </w:p>
    <w:p>
      <w:pPr>
        <w:numPr>
          <w:ilvl w:val="0"/>
          <w:numId w:val="63"/>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Realizarea unui „online tracking system’’pentru verificarea stadiului aplicaţiei și încărcarea documentelor solicitate în clarificări</w:t>
      </w:r>
    </w:p>
    <w:p>
      <w:pPr>
        <w:numPr>
          <w:ilvl w:val="0"/>
          <w:numId w:val="63"/>
        </w:numPr>
        <w:spacing w:before="0" w:after="240"/>
        <w:ind w:left="720" w:hanging="280"/>
        <w:jc w:val="left"/>
        <w:rPr>
          <w:rFonts w:ascii="Times New Roman" w:eastAsia="Times New Roman" w:hAnsi="Times New Roman" w:cs="Times New Roman"/>
        </w:rPr>
      </w:pPr>
      <w:r>
        <w:rPr>
          <w:rFonts w:ascii="Times New Roman" w:eastAsia="Times New Roman" w:hAnsi="Times New Roman" w:cs="Times New Roman"/>
        </w:rPr>
        <w:t>Înființarea unui ”birou unic” care să furnizeze potențialilor beneficiari informații legate de fezabilitatea proiectului, de eligibilitate și concordanță cu obiectivele programului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Implementare</w:t>
      </w:r>
    </w:p>
    <w:p>
      <w:pPr>
        <w:numPr>
          <w:ilvl w:val="0"/>
          <w:numId w:val="64"/>
        </w:numPr>
        <w:spacing w:before="240" w:after="240"/>
        <w:ind w:left="720" w:hanging="280"/>
        <w:jc w:val="left"/>
        <w:rPr>
          <w:rFonts w:ascii="Times New Roman" w:eastAsia="Times New Roman" w:hAnsi="Times New Roman" w:cs="Times New Roman"/>
        </w:rPr>
      </w:pPr>
      <w:r>
        <w:rPr>
          <w:rFonts w:ascii="Times New Roman" w:eastAsia="Times New Roman" w:hAnsi="Times New Roman" w:cs="Times New Roman"/>
        </w:rPr>
        <w:t>Organizarea de sesiuni de formare post-contractare cu beneficiarii, privind proceduri aplicabile, achiziții publice, management de proiect, cerințe specifice de raportare, vizite de monitorizare, evaluări</w:t>
      </w:r>
    </w:p>
    <w:p>
      <w:pPr>
        <w:numPr>
          <w:ilvl w:val="0"/>
          <w:numId w:val="65"/>
        </w:numPr>
        <w:spacing w:before="240" w:after="240"/>
        <w:ind w:left="720" w:hanging="280"/>
        <w:jc w:val="left"/>
        <w:rPr>
          <w:rFonts w:ascii="Times New Roman" w:eastAsia="Times New Roman" w:hAnsi="Times New Roman" w:cs="Times New Roman"/>
        </w:rPr>
      </w:pPr>
      <w:r>
        <w:rPr>
          <w:rFonts w:ascii="Times New Roman" w:eastAsia="Times New Roman" w:hAnsi="Times New Roman" w:cs="Times New Roman"/>
        </w:rPr>
        <w:t>Elaborarea unei liste de cheltuieli neeligibile.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Cererea de plată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Cu toate că introducerea cererii de plată a fost una dintre cele mai apreciate metode de simplificare, vor fi implementate măsuri suplimentare care să contribuie la îmbunătățirea mecanismului:</w:t>
      </w:r>
    </w:p>
    <w:p>
      <w:pPr>
        <w:numPr>
          <w:ilvl w:val="0"/>
          <w:numId w:val="66"/>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Renunțare la duplicarea documentelor solicitate în cererea de plată și în cererea de rambursare</w:t>
      </w:r>
    </w:p>
    <w:p>
      <w:pPr>
        <w:numPr>
          <w:ilvl w:val="0"/>
          <w:numId w:val="66"/>
        </w:numPr>
        <w:spacing w:before="0" w:after="240"/>
        <w:ind w:left="720" w:hanging="280"/>
        <w:jc w:val="left"/>
        <w:rPr>
          <w:rFonts w:ascii="Times New Roman" w:eastAsia="Times New Roman" w:hAnsi="Times New Roman" w:cs="Times New Roman"/>
        </w:rPr>
      </w:pPr>
      <w:r>
        <w:rPr>
          <w:rFonts w:ascii="Times New Roman" w:eastAsia="Times New Roman" w:hAnsi="Times New Roman" w:cs="Times New Roman"/>
        </w:rPr>
        <w:t>Posibilitatea efectuării de plăți în valută la nivelul Trezoreriei</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 xml:space="preserve">Achiziții publice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Procedura simplificată pentru atribuirea contractelor de furnizare bunuri, servicii sau lucrări a fost identificată ca  o metodă de simplificare deosebit de utilă, dar care trebuie  îmbunătățită prin:</w:t>
      </w:r>
    </w:p>
    <w:p>
      <w:pPr>
        <w:numPr>
          <w:ilvl w:val="0"/>
          <w:numId w:val="67"/>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Adăugarea de noi opțiuni, cum ar fi publicarea unui singur anunț cu mai multe loturi și atribuirea individuală ulterioară</w:t>
      </w:r>
    </w:p>
    <w:p>
      <w:pPr>
        <w:numPr>
          <w:ilvl w:val="0"/>
          <w:numId w:val="67"/>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Posibilitatea de a se păstra documentele atașate</w:t>
      </w:r>
    </w:p>
    <w:p>
      <w:pPr>
        <w:numPr>
          <w:ilvl w:val="0"/>
          <w:numId w:val="67"/>
        </w:numPr>
        <w:spacing w:before="0" w:after="240"/>
        <w:ind w:left="720" w:hanging="280"/>
        <w:jc w:val="left"/>
        <w:rPr>
          <w:rFonts w:ascii="Times New Roman" w:eastAsia="Times New Roman" w:hAnsi="Times New Roman" w:cs="Times New Roman"/>
        </w:rPr>
      </w:pPr>
      <w:r>
        <w:rPr>
          <w:rFonts w:ascii="Times New Roman" w:eastAsia="Times New Roman" w:hAnsi="Times New Roman" w:cs="Times New Roman"/>
        </w:rPr>
        <w:t>Posibilitatea de introducere de erate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Rapoarte de progres</w:t>
      </w:r>
    </w:p>
    <w:p>
      <w:pPr>
        <w:numPr>
          <w:ilvl w:val="0"/>
          <w:numId w:val="68"/>
        </w:numPr>
        <w:spacing w:before="240" w:after="240"/>
        <w:ind w:left="720" w:hanging="280"/>
        <w:jc w:val="left"/>
        <w:rPr>
          <w:rFonts w:ascii="Times New Roman" w:eastAsia="Times New Roman" w:hAnsi="Times New Roman" w:cs="Times New Roman"/>
        </w:rPr>
      </w:pPr>
      <w:r>
        <w:rPr>
          <w:rFonts w:ascii="Times New Roman" w:eastAsia="Times New Roman" w:hAnsi="Times New Roman" w:cs="Times New Roman"/>
        </w:rPr>
        <w:t>Simplificarea formularului care trebuie să conțină informații strict legate de  perioada de raportare</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Rambursarea cheltuielilor</w:t>
      </w:r>
    </w:p>
    <w:p>
      <w:pPr>
        <w:numPr>
          <w:ilvl w:val="0"/>
          <w:numId w:val="69"/>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Reducerea numărului de documente solicitate cum ar fi cele care din dosarul de licitație sau cele care au fost depuse la o cerere anterioară</w:t>
      </w:r>
    </w:p>
    <w:p>
      <w:pPr>
        <w:numPr>
          <w:ilvl w:val="0"/>
          <w:numId w:val="69"/>
        </w:numPr>
        <w:spacing w:before="0" w:after="240"/>
        <w:ind w:left="720" w:hanging="280"/>
        <w:jc w:val="left"/>
        <w:rPr>
          <w:rFonts w:ascii="Times New Roman" w:eastAsia="Times New Roman" w:hAnsi="Times New Roman" w:cs="Times New Roman"/>
        </w:rPr>
      </w:pPr>
      <w:r>
        <w:rPr>
          <w:rFonts w:ascii="Times New Roman" w:eastAsia="Times New Roman" w:hAnsi="Times New Roman" w:cs="Times New Roman"/>
        </w:rPr>
        <w:t>Aplicarea cheltuielilor indirecte ca metodă de simplificare a costurilor</w:t>
      </w:r>
    </w:p>
    <w:p>
      <w:pPr>
        <w:spacing w:before="240" w:after="240"/>
        <w:jc w:val="left"/>
        <w:rPr>
          <w:rFonts w:ascii="Times New Roman" w:eastAsia="Times New Roman" w:hAnsi="Times New Roman" w:cs="Times New Roman"/>
        </w:rPr>
      </w:pPr>
      <w:r>
        <w:rPr>
          <w:rFonts w:ascii="Times New Roman" w:eastAsia="Times New Roman" w:hAnsi="Times New Roman" w:cs="Times New Roman"/>
          <w:b/>
          <w:bCs/>
        </w:rPr>
        <w:t>Auditare si control</w:t>
      </w:r>
    </w:p>
    <w:p>
      <w:pPr>
        <w:numPr>
          <w:ilvl w:val="0"/>
          <w:numId w:val="70"/>
        </w:numPr>
        <w:spacing w:before="240" w:after="0"/>
        <w:ind w:left="720" w:hanging="280"/>
        <w:jc w:val="left"/>
        <w:rPr>
          <w:rFonts w:ascii="Times New Roman" w:eastAsia="Times New Roman" w:hAnsi="Times New Roman" w:cs="Times New Roman"/>
        </w:rPr>
      </w:pPr>
      <w:r>
        <w:rPr>
          <w:rFonts w:ascii="Times New Roman" w:eastAsia="Times New Roman" w:hAnsi="Times New Roman" w:cs="Times New Roman"/>
        </w:rPr>
        <w:t>Integrarea progresivă a gestionării bazate pe riscuri, cu concentrarea verificărilor și a auditului în zonele în care riscul este evaluat drept cel mai ridicat din punct de vedere al aspectelor tehnice ale proiectelor, al importanței financiare a proiectelor, al capacității/istoricului beneficiarului</w:t>
      </w:r>
    </w:p>
    <w:p>
      <w:pPr>
        <w:numPr>
          <w:ilvl w:val="0"/>
          <w:numId w:val="70"/>
        </w:numPr>
        <w:spacing w:before="0" w:after="0"/>
        <w:ind w:left="720" w:hanging="280"/>
        <w:jc w:val="left"/>
        <w:rPr>
          <w:rFonts w:ascii="Times New Roman" w:eastAsia="Times New Roman" w:hAnsi="Times New Roman" w:cs="Times New Roman"/>
        </w:rPr>
      </w:pPr>
      <w:r>
        <w:rPr>
          <w:rFonts w:ascii="Times New Roman" w:eastAsia="Times New Roman" w:hAnsi="Times New Roman" w:cs="Times New Roman"/>
        </w:rPr>
        <w:t>Elaborarea unui manual de audit și control, care să fie cunoscut beneficiarilor fondurilor europene</w:t>
      </w:r>
    </w:p>
    <w:p>
      <w:pPr>
        <w:numPr>
          <w:ilvl w:val="0"/>
          <w:numId w:val="70"/>
        </w:numPr>
        <w:spacing w:before="0" w:after="240"/>
        <w:ind w:left="720" w:hanging="280"/>
        <w:jc w:val="left"/>
        <w:rPr>
          <w:rFonts w:ascii="Times New Roman" w:eastAsia="Times New Roman" w:hAnsi="Times New Roman" w:cs="Times New Roman"/>
        </w:rPr>
      </w:pPr>
      <w:r>
        <w:rPr>
          <w:rFonts w:ascii="Times New Roman" w:eastAsia="Times New Roman" w:hAnsi="Times New Roman" w:cs="Times New Roman"/>
        </w:rPr>
        <w:t>Eficientizarea vizitelor de monitorizare, maxim 3 vizite, efectuate simultan pentru monitorizare tehnică  și financiară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La nivelul fiecărui program operațional, etapa implementării acțiunilor de simplificare va fi monitorizată de Comitetul de Monitorizare. Evaluarea impactului implementării acțiunilor de simplificare va fi prevăzută în planul de evaluare. În vederea continuării procesului de simplificare, AM va colecta opiniile și propunerile beneficiarilor, o dată la doi ani, prin intermediul unor chestionare și interviuri.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Una din recomandările studiului, legată de înființarea unui sistem de informare </w:t>
      </w:r>
      <w:r>
        <w:rPr>
          <w:rFonts w:ascii="Times New Roman" w:eastAsia="Times New Roman" w:hAnsi="Times New Roman" w:cs="Times New Roman"/>
          <w:b/>
          <w:bCs/>
        </w:rPr>
        <w:t>”ghișeu unic</w:t>
      </w:r>
      <w:r>
        <w:rPr>
          <w:rFonts w:ascii="Times New Roman" w:eastAsia="Times New Roman" w:hAnsi="Times New Roman" w:cs="Times New Roman"/>
        </w:rPr>
        <w:t xml:space="preserve">” este deja în curs de implementare, creându-se un </w:t>
      </w:r>
      <w:r>
        <w:rPr>
          <w:rFonts w:ascii="Times New Roman" w:eastAsia="Times New Roman" w:hAnsi="Times New Roman" w:cs="Times New Roman"/>
          <w:b/>
          <w:bCs/>
        </w:rPr>
        <w:t>cadru integrat și simplificat pentru obţinerea de informaţii comprehensive și accesibile privind posibilitățile de finanțare din FESI și alte fonduri,</w:t>
      </w:r>
      <w:r>
        <w:rPr>
          <w:rFonts w:ascii="Times New Roman" w:eastAsia="Times New Roman" w:hAnsi="Times New Roman" w:cs="Times New Roman"/>
        </w:rPr>
        <w:t xml:space="preserve"> precum și consiliere.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Ghișeul unic se va implementa prin Reteua de informare formata din 41 de puncte de informare (la nivelul fiecărui județ), gestionate de MFE. Aceasta Rețea va constitui un suport important pentru diseminarea informatiilor în rândul publicului larg și a segmentelor de public țintă, la nivel național. Vor fi oferite IMM-urilor informații comprehensive și accesibile privind posibilitațile de finanțare din FESI și alte fonduri, precum și consiliere în acest sens. Autoritațile competente vor putea primi feedback din partea beneficiarilor vis-a-vis de cadrul administrativ și procedural de accesare a finanțărilor, contribuind la îmbunatățirea performanței acestora (detalii in sectiunea 8 - </w:t>
      </w:r>
      <w:r>
        <w:rPr>
          <w:rFonts w:ascii="Times New Roman" w:eastAsia="Times New Roman" w:hAnsi="Times New Roman" w:cs="Times New Roman"/>
          <w:i/>
          <w:iCs/>
        </w:rPr>
        <w:t>Coordination between the Funds</w:t>
      </w:r>
      <w:r>
        <w:rPr>
          <w:rFonts w:ascii="Times New Roman" w:eastAsia="Times New Roman" w:hAnsi="Times New Roman" w:cs="Times New Roman"/>
        </w:rPr>
        <w: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Dupa semnarea contractelor de finanțare, informațiile și asistența pentru beneficiarii POC va fi acordată de AM/OI tot cu ajutorul rețelei de informare.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Portalul MySMIS (e-coeziune), elaborat recent, are ca scop facilitarea schimbului de informații electronice in relatia cu beneficiari. MySMIS integrează toate elementele de reglementare principale ale e-coeziunii (conform cu Actul de punere în aplicare a normelor privind schimbul electronic de informații cu beneficiarii) referitoare la „caracteristicile tehnice pentru funcționarea sistemelor informatice și pentru reducerea sarcinii administrative pentru beneficiari", „principiul de codare unică", „interoperabilitatea" și „toate schimburile de informații".</w:t>
      </w:r>
    </w:p>
    <w:p w:rsidR="008D5009" w:rsidP="008D5009">
      <w:pPr>
        <w:spacing w:before="0" w:after="0"/>
        <w:rPr>
          <w:bCs/>
        </w:rPr>
      </w:pPr>
    </w:p>
    <w:p w:rsidR="008D5009" w:rsidP="008D5009">
      <w:pPr>
        <w:pStyle w:val="Heading1"/>
        <w:numPr>
          <w:ilvl w:val="0"/>
          <w:numId w:val="15"/>
        </w:numPr>
        <w:tabs>
          <w:tab w:val="num" w:pos="850"/>
          <w:tab w:val="clear" w:pos="992"/>
        </w:tabs>
        <w:spacing w:before="0" w:after="0"/>
        <w:ind w:left="850"/>
        <w:jc w:val="left"/>
        <w:rPr>
          <w:lang w:val="fr-FR"/>
        </w:rPr>
        <w:sectPr w:rsidSect="00426349">
          <w:headerReference w:type="default" r:id="rId25"/>
          <w:footerReference w:type="default" r:id="rId26"/>
          <w:headerReference w:type="first" r:id="rId27"/>
          <w:footerReference w:type="first" r:id="rId28"/>
          <w:pgSz w:w="11906" w:h="16838"/>
          <w:pgMar w:top="1022" w:right="1699" w:bottom="1022" w:left="1584" w:header="283" w:footer="283" w:gutter="0"/>
          <w:cols w:space="708"/>
          <w:docGrid w:linePitch="360"/>
        </w:sectPr>
      </w:pPr>
    </w:p>
    <w:p w:rsidR="008D5009" w:rsidRPr="008D428D" w:rsidP="008D5009">
      <w:pPr>
        <w:pStyle w:val="Heading1"/>
        <w:numPr>
          <w:ilvl w:val="0"/>
          <w:numId w:val="0"/>
        </w:numPr>
        <w:spacing w:before="0" w:after="0"/>
        <w:rPr>
          <w:lang w:val="fr-FR"/>
        </w:rPr>
      </w:pPr>
      <w:bookmarkStart w:id="249" w:name="_Toc256000122"/>
      <w:r w:rsidRPr="008D428D">
        <w:rPr>
          <w:noProof/>
          <w:lang w:val="fr-FR"/>
        </w:rPr>
        <w:t>11. HORIZONTAL PRINCIPLES</w:t>
      </w:r>
      <w:bookmarkEnd w:id="249"/>
    </w:p>
    <w:p w:rsidR="008D5009" w:rsidRPr="008D428D" w:rsidP="008D5009">
      <w:pPr>
        <w:pStyle w:val="Text1"/>
        <w:spacing w:before="0" w:after="0"/>
        <w:ind w:left="0"/>
        <w:rPr>
          <w:lang w:val="fr-FR"/>
        </w:rPr>
      </w:pPr>
    </w:p>
    <w:p w:rsidR="008D5009" w:rsidRPr="008D428D" w:rsidP="008D5009">
      <w:pPr>
        <w:pStyle w:val="Heading2"/>
        <w:keepLines/>
        <w:numPr>
          <w:ilvl w:val="0"/>
          <w:numId w:val="0"/>
        </w:numPr>
        <w:spacing w:before="0" w:after="0"/>
        <w:ind w:left="850" w:hanging="850"/>
        <w:rPr>
          <w:lang w:val="fr-FR"/>
        </w:rPr>
      </w:pPr>
      <w:bookmarkStart w:id="250" w:name="_Toc256000123"/>
      <w:r w:rsidRPr="008D428D">
        <w:rPr>
          <w:noProof/>
          <w:lang w:val="fr-FR"/>
        </w:rPr>
        <w:t>11.1 Sustainable development</w:t>
      </w:r>
      <w:bookmarkEnd w:id="250"/>
    </w:p>
    <w:p w:rsidR="008D5009" w:rsidRPr="001C2523" w:rsidP="008D5009">
      <w:pPr>
        <w:pStyle w:val="Text1"/>
        <w:keepNext/>
        <w:keepLines/>
        <w:spacing w:before="0" w:after="0"/>
        <w:ind w:left="0"/>
      </w:pPr>
      <w:r>
        <w:rPr>
          <w:noProof/>
        </w:rPr>
        <w:t>Description of specific actions to take into account environmental protection requirements, resource efficiency, climate change mitigation and adaptation, disaster resilience and risk prevention and management, in the selection of operations.</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Stimularea sectorului CDI şi TIC reprezintă două dintre instrumentele esenţiale utilizate de UE pentru atingerea obiectivelor de dezvoltarea durabilă. Elementele esenţiale pentru asigurarea unei creşteri economice durabile sunt legate de dezvoltarea unei economii competitive, care să utilizeze resursele în mod eficient, de promovarea unor politici şi mijloace de protecţie a mediului prin reducerea emisiilor de gaze cu efect de seră şi stoparea pierderii biodiversităţii, alături de dezvoltarea de noi tehnologii şi metode de producţie ecologice.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xml:space="preserve">La nivel naţional, România şi-a asumat obiectivele ambiţioase în domeniul dezvoltării durabile prin adoptarea </w:t>
      </w:r>
      <w:r>
        <w:rPr>
          <w:rFonts w:ascii="Times New Roman" w:eastAsia="Times New Roman" w:hAnsi="Times New Roman" w:cs="Times New Roman"/>
          <w:i/>
          <w:iCs/>
        </w:rPr>
        <w:t>Strategiei</w:t>
      </w:r>
      <w:r>
        <w:rPr>
          <w:rFonts w:ascii="Times New Roman" w:eastAsia="Times New Roman" w:hAnsi="Times New Roman" w:cs="Times New Roman"/>
        </w:rPr>
        <w:t xml:space="preserve"> </w:t>
      </w:r>
      <w:r>
        <w:rPr>
          <w:rFonts w:ascii="Times New Roman" w:eastAsia="Times New Roman" w:hAnsi="Times New Roman" w:cs="Times New Roman"/>
          <w:i/>
          <w:iCs/>
        </w:rPr>
        <w:t>Naționale</w:t>
      </w:r>
      <w:r>
        <w:rPr>
          <w:rFonts w:ascii="Times New Roman" w:eastAsia="Times New Roman" w:hAnsi="Times New Roman" w:cs="Times New Roman"/>
        </w:rPr>
        <w:t xml:space="preserve"> </w:t>
      </w:r>
      <w:r>
        <w:rPr>
          <w:rFonts w:ascii="Times New Roman" w:eastAsia="Times New Roman" w:hAnsi="Times New Roman" w:cs="Times New Roman"/>
          <w:i/>
          <w:iCs/>
        </w:rPr>
        <w:t>pentru</w:t>
      </w:r>
      <w:r>
        <w:rPr>
          <w:rFonts w:ascii="Times New Roman" w:eastAsia="Times New Roman" w:hAnsi="Times New Roman" w:cs="Times New Roman"/>
        </w:rPr>
        <w:t xml:space="preserve"> </w:t>
      </w:r>
      <w:r>
        <w:rPr>
          <w:rFonts w:ascii="Times New Roman" w:eastAsia="Times New Roman" w:hAnsi="Times New Roman" w:cs="Times New Roman"/>
          <w:i/>
          <w:iCs/>
        </w:rPr>
        <w:t>Dezvoltare</w:t>
      </w:r>
      <w:r>
        <w:rPr>
          <w:rFonts w:ascii="Times New Roman" w:eastAsia="Times New Roman" w:hAnsi="Times New Roman" w:cs="Times New Roman"/>
        </w:rPr>
        <w:t xml:space="preserve"> </w:t>
      </w:r>
      <w:r>
        <w:rPr>
          <w:rFonts w:ascii="Times New Roman" w:eastAsia="Times New Roman" w:hAnsi="Times New Roman" w:cs="Times New Roman"/>
          <w:i/>
          <w:iCs/>
        </w:rPr>
        <w:t>Durabilă</w:t>
      </w:r>
      <w:r>
        <w:rPr>
          <w:rFonts w:ascii="Times New Roman" w:eastAsia="Times New Roman" w:hAnsi="Times New Roman" w:cs="Times New Roman"/>
        </w:rPr>
        <w:t xml:space="preserve"> </w:t>
      </w:r>
      <w:r>
        <w:rPr>
          <w:rFonts w:ascii="Times New Roman" w:eastAsia="Times New Roman" w:hAnsi="Times New Roman" w:cs="Times New Roman"/>
          <w:i/>
          <w:iCs/>
        </w:rPr>
        <w:t>a</w:t>
      </w:r>
      <w:r>
        <w:rPr>
          <w:rFonts w:ascii="Times New Roman" w:eastAsia="Times New Roman" w:hAnsi="Times New Roman" w:cs="Times New Roman"/>
        </w:rPr>
        <w:t xml:space="preserve"> </w:t>
      </w:r>
      <w:r>
        <w:rPr>
          <w:rFonts w:ascii="Times New Roman" w:eastAsia="Times New Roman" w:hAnsi="Times New Roman" w:cs="Times New Roman"/>
          <w:i/>
          <w:iCs/>
        </w:rPr>
        <w:t>României</w:t>
      </w:r>
      <w:r>
        <w:rPr>
          <w:rFonts w:ascii="Times New Roman" w:eastAsia="Times New Roman" w:hAnsi="Times New Roman" w:cs="Times New Roman"/>
        </w:rPr>
        <w:t xml:space="preserve"> </w:t>
      </w:r>
      <w:r>
        <w:rPr>
          <w:rFonts w:ascii="Times New Roman" w:eastAsia="Times New Roman" w:hAnsi="Times New Roman" w:cs="Times New Roman"/>
          <w:i/>
          <w:iCs/>
        </w:rPr>
        <w:t>Orizonturi</w:t>
      </w:r>
      <w:r>
        <w:rPr>
          <w:rFonts w:ascii="Times New Roman" w:eastAsia="Times New Roman" w:hAnsi="Times New Roman" w:cs="Times New Roman"/>
        </w:rPr>
        <w:t xml:space="preserve"> </w:t>
      </w:r>
      <w:r>
        <w:rPr>
          <w:rFonts w:ascii="Times New Roman" w:eastAsia="Times New Roman" w:hAnsi="Times New Roman" w:cs="Times New Roman"/>
          <w:i/>
          <w:iCs/>
        </w:rPr>
        <w:t>2013-2020-2030,</w:t>
      </w:r>
      <w:r>
        <w:rPr>
          <w:rFonts w:ascii="Times New Roman" w:eastAsia="Times New Roman" w:hAnsi="Times New Roman" w:cs="Times New Roman"/>
        </w:rPr>
        <w:t xml:space="preserve"> care stabileşte obiective strategice în domeniu.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Intervențiile din cadrul AP1 vizează domeniile de specializare inteligentă identificate la nivel național, domenii cu impact direct în orientarea către o economie ecologică, mai eficientă din punctul de vedere al utilizării resurselor. Cercetarea și inovarea în domenii precum energie, mediu, schimbări climatice, eco-nano tehnologii și materiale avansate pot produce rezultate cu aplicabilitate în mediul industrial și în societate contribuind la dezvoltarea economică durabilă. Pe de altă parte dezvoltarea serviciilor electronice pentru mediul de afaceri, populație şi administraţia publică, precum şi dezvoltarea şi extinderea infrastructurii de transfer de date de mare viteză va contribui la economii de resurse. Îmbunătățirea accesului la informatii în mediul virtual va permite unui public din ce în ce mai larg să cunoască și să adopte concepte ”verzi”.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POC nu sprijină direct OT 4, 5, 6 și 7, priorității specifice de creștere durabilă însă include acțiuni de natura dezvoltarii durabile integrate, astfel:</w:t>
      </w:r>
    </w:p>
    <w:p>
      <w:pPr>
        <w:numPr>
          <w:ilvl w:val="0"/>
          <w:numId w:val="71"/>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AP1 finanțează acțiuni coerente cu SNCDI 2014-2020, în ariile de specializare inteligentă, una dintre acestea fiind ”</w:t>
      </w:r>
      <w:r>
        <w:rPr>
          <w:rFonts w:ascii="Times New Roman" w:eastAsia="Times New Roman" w:hAnsi="Times New Roman" w:cs="Times New Roman"/>
          <w:i/>
          <w:iCs/>
        </w:rPr>
        <w:t>Energie, mediu și schimbări climatice</w:t>
      </w:r>
      <w:r>
        <w:rPr>
          <w:rFonts w:ascii="Times New Roman" w:eastAsia="Times New Roman" w:hAnsi="Times New Roman" w:cs="Times New Roman"/>
        </w:rPr>
        <w:t>”.</w:t>
      </w:r>
    </w:p>
    <w:p>
      <w:pPr>
        <w:numPr>
          <w:ilvl w:val="0"/>
          <w:numId w:val="71"/>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Acțiunile POC sprijină participarea organizațiilor de cercetare în programul Orizont 2020, care finanțează printre altele și inovarea in agricultură și silvicultură durabilă, energie curată și eficientă, energie verde și transport integrat, schimbări climatice, mediu, eficiența resurselor.</w:t>
      </w:r>
    </w:p>
    <w:p>
      <w:pPr>
        <w:numPr>
          <w:ilvl w:val="0"/>
          <w:numId w:val="71"/>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AP2, prin finanțarea investițiilor în cloud computing și soluții TIC pentru serviciile publice contribuie la reducerea consumului de energie și implicit a emisiilor de carbon.</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procesul de programare o măsură de promovare a principiilor dezvoltării durabile a constat în aplicarea prevederilor legale privind procedura de realizare a evaluării de mediu. POC a parcurs procedura legală, iar în etapa de încadrare MMSC, ca autoritate competentă, a decis că POC nu necesită evaluare de mediu și se supune procedurii de adoptare fără aviz de mediu.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Aplicarea principiului dezvoltării durabile pe parcursul implementării POC va include următoarele măsuri orizontale:</w:t>
      </w:r>
    </w:p>
    <w:p>
      <w:pPr>
        <w:numPr>
          <w:ilvl w:val="0"/>
          <w:numId w:val="72"/>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AM va sprijini conștientizarea beneficiarilor privind necesitatea integrării în propunerile de proiecte a unor soluții pentru utilizarea eficientă a energiei, utilizarea energiei regenerabile, minimizarea consumului de apă și volumul de deșeuri și alte obiective de mediu relevante pentru acțiunile finanțate. Aceasta se va realiza prin includerea de recomandări în ghidurile, manualele și tematica de instruire destinate potențialilor beneficiari</w:t>
      </w:r>
    </w:p>
    <w:p>
      <w:pPr>
        <w:numPr>
          <w:ilvl w:val="0"/>
          <w:numId w:val="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În procesul de selecție a proiectelor se vor include, după caz, criterii prin care se verifică respectarea reglementărilor privind evaluarea impactului proiectelor asupra mediului, cresterea eficienței energetice a clădirilor, etc.</w:t>
      </w:r>
    </w:p>
    <w:p>
      <w:pPr>
        <w:numPr>
          <w:ilvl w:val="0"/>
          <w:numId w:val="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În grilele de evaluare a proiectelor vor fi incluse criterii care să încurajeze beneficiarii să adopte soluții  de minimizare/reciclare a deșeurilor din construcții, promovarea utilizării resurselor naturale, a energiei regenerabile,  utilizarea de tehnologii prietenoase mediului, utilizarea eficientă a energiei</w:t>
      </w:r>
    </w:p>
    <w:p>
      <w:pPr>
        <w:numPr>
          <w:ilvl w:val="0"/>
          <w:numId w:val="72"/>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Procedurile programului vor asigura respectarea reglementărilor în vigoare privind evaluarea impactului asupra mediului.</w:t>
      </w:r>
    </w:p>
    <w:p>
      <w:pPr>
        <w:numPr>
          <w:ilvl w:val="0"/>
          <w:numId w:val="72"/>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Pe parcursul implementării proiectelor beneficiarii vor fi îndrumați să aplice procedura achizițiilor verzi acolo unde este adecvată, să adopte acreditarea EMAS si etichetarea ecologică.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Modul de implementare a măsurilor orizontale pentru dezvoltare durabilă și eficacitatea lor vor fi evaluate prin evaluarea tematică a principiilor orizontale, planificată la nivelul AP, pentru toate programele operaționale inclusiv POC.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Personalul AM și OI va fi instruit pentru întelegerea și aplicarea principiilor dezvoltării durabile, inclusiv cele solicitate de condiționalitatea ex-ante Mediu.</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O măsură orizontală importantă pentru aplicarea eficace a măsurilor de promovare a dezvoltării durabile o reprezintă activitatea Grupului de Lucru Operațional ”Principii orizontale” organizat la nivelul MFE, prin care se asigură o întelegere comună asupra principiilor și modului de aplicare la nivelul fiecărui PO a principiilor dezvoltării durabile, împărtășirea experienței și continua imbunătățire a modului de implementare. Rezultatele activității grupului de lucru operațional vor fi diseminate la nivelul AM și cele doua OI ale POC.</w:t>
      </w:r>
    </w:p>
    <w:p w:rsidR="008D5009" w:rsidP="008D5009">
      <w:pPr>
        <w:spacing w:before="0" w:after="0"/>
      </w:pPr>
    </w:p>
    <w:p w:rsidR="008D5009" w:rsidP="008D5009">
      <w:pPr>
        <w:pStyle w:val="Heading2"/>
        <w:keepLines/>
        <w:numPr>
          <w:ilvl w:val="0"/>
          <w:numId w:val="0"/>
        </w:numPr>
        <w:spacing w:before="0" w:after="0"/>
        <w:ind w:left="850" w:hanging="850"/>
      </w:pPr>
      <w:bookmarkStart w:id="251" w:name="_Toc256000124"/>
      <w:r>
        <w:rPr>
          <w:noProof/>
        </w:rPr>
        <w:t>11.2 Equal opportunities and non-discrimination</w:t>
      </w:r>
      <w:bookmarkEnd w:id="251"/>
    </w:p>
    <w:p w:rsidR="008D5009" w:rsidRPr="001C2523" w:rsidP="008D5009">
      <w:pPr>
        <w:pStyle w:val="Text1"/>
        <w:keepNext/>
        <w:keepLines/>
        <w:spacing w:before="0" w:after="0"/>
        <w:ind w:left="0"/>
        <w:rPr>
          <w:lang w:eastAsia="fr-FR"/>
        </w:rPr>
      </w:pPr>
      <w:r>
        <w:rPr>
          <w:noProof/>
        </w:rPr>
        <w:t>Description of specific actions to promote equal opportunities and prevent discrimination based on sex, racial or ethnic origin, religion or belief, disability, age or sexual orientation during the preparation, design and implementation of the operational programme and in particular in relation to access to funding, taking account of the needs of the various target groups at risk of such discrimination and in particular the requirements for ensuring accessibility for persons with disabilities.</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Având în vedere orientarea acestui program operaţional înspre stimularea iniţiativelor de creşterea a competitivităţii economice prin suportul acordat sectorului CDI şi TIC, respectarea principiului egalităţii de şanse, aşa cum este el definit şi susţinut la nivelul Uniunii Europene şi la nivel naţional prin politicile strategice specifice, va fi asigurată la nivel orizontal în toate proiectele susţinute prin cerințe specifice formulate la nivelul ghidurilor solicitantului.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Principalele preocupări în cadrul iniţiativelor promovate prin POC (life-events) vor fi legate de asigurarea unor servicii publice performante pentru toţi cetăţenii, indiferent de sex, religie, etnie prin asigurarea accesului larg la informaţii, implementarea unor sisteme de comunicare eficiente şi rapide cu autorităţile publice şi crearea de locuri de muncă ca urmare a dezvoltării economice produse de operaţiunile şi politicile susţinute.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Dezvoltarea societăţii informaţionale sprijină prin însăși definiţia sa egalitatea de şanse. În plus, dezvoltarea infrastructurii de bandă largă va sprijini  egalitatea de şanse prin facilitarea accesului la informaţie şi la piaţa muncii a comunităţilor mici şi/sau izolate, precum şi a grupurilor sociale defavorizate.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Serviciile și produsele TIC trebuie dezvoltate având în vedere, pe cât posibil, asigurarea accesibilității lor inclusiv pentru persoanele cu dizabilități.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POC sprijină direct egalitatea de șanse și non discriminarea prin Axa Prioritară 2, acțiunea  2.1.1. Îmbunătățirea infrastructurii în bandă largă și a accesului la internet și prin acțiunea 2.3.3  Îmbunătățirea conținutului digital și a infrastructurii TIC sistemice în domeniul e-educație, e-sănătate și e-cultură.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Acțiunea 2.1.1 se adresează comunităților dezavantajate din 800 de localități reprezentând aproximativ 300 000 de gospodării care nu acces la infrastructură de internet în bandă largă. Acțiunea 2.3.3. se adresează  comunităților dezavantajate prin așezarea geografică, existența unor grupuri vulnerabile, condiții economice precare, sau acces limitat la comunicații, de exemplu la internet.  Prin această acțiune grupuri țintă pot beneficia de dezvoltarea competențelor digitale ca măsură de combatere a excluziunii, accesul la centre de cunoastere comunitară, centre de resurse pentru dezvoltare, servicii electronice cu acces rapid catre surse multiple de informație,  accesul la servicii ambulatorii de specialitate prin soluții de telemedicină.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Conform cadrului general stabilit în Acordul de Parteneriat, principiile egalității de șanse si non-discriminării vor fi sistematic integrate în fiecare fază a programului atât în managementul programului cât și în managementul proiectelor individuale la nivelul beneficiarilor.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Pentru creșterea capacității AM si OI de a aplica prinicipiile egalității de șanse si antidiscriminarii se vor asigura:</w:t>
      </w:r>
    </w:p>
    <w:p>
      <w:pPr>
        <w:numPr>
          <w:ilvl w:val="0"/>
          <w:numId w:val="73"/>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Implementarea la nivelul POC a măsurilor intreprinse pentru satisfacerea conditionalităților exante Antidiscriminarea și Dizabilități incluzând: instruirea personalului prin mecanismul  de training creat și implementat de MFE, crearea în cadrul AM a unui post de consilier privind antidiscriminarea și egalitatea de șanse, participarea la mecanismul de monitorizare a aspectelor privind aplicarea acestor principii orizontale în proiectele FESI.</w:t>
      </w:r>
    </w:p>
    <w:p>
      <w:pPr>
        <w:numPr>
          <w:ilvl w:val="0"/>
          <w:numId w:val="73"/>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Transferul informațiilor, bunelor practici, abordarilor și metodelor spre intreg personalul AM si OI  prin distribuirea si asigurarea accesului la materialele de informare si instruire.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procesul de pregătire a proiectelor și în implementare, beneficiarii vor fi îndrumați prin ghiduri, manuale și instruiri care vor include secțiuni dedicate modalităților de aplicarea a principiilor orizontale, în particular principiilor egalității de șanse și antidiscriminării.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implementarea programului se va avea în vedere aplicarea principiilor egalității de șanse si antidiscriminării prin asigurarea accesului la finanțare și la beneficiile proiectelor pentru grupurile vulnerabile, persoane cu dizabilitați, comunități dezavantajate, potențiali beneficiari cu acces limitat la informații.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procesul de selecție a proiectelor, se va verifica si se va asigura ca toate proiectele respectă cerințele legale privind egalitatea de șanse și non discriminarea. Prin criteriile de selecție beneficiarii vor fi incurajați să adopte măsuri suplimentare față de cerințele minime legale.</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Modul de implementare a măsurilor orizontale pentru egalitatea de șanse și antidiscriminare, precum și eficacitatea lor, vor fi evaluate prin evaluarea tematică a principiilor orizontale, planificată la nivelul Acordului de Parteneriat, pentru toate programele operaționale, inclusiv POC.</w:t>
      </w:r>
    </w:p>
    <w:p w:rsidR="008D5009" w:rsidP="008D5009">
      <w:pPr>
        <w:spacing w:before="0" w:after="0"/>
      </w:pPr>
    </w:p>
    <w:p w:rsidR="008D5009" w:rsidP="008D5009">
      <w:pPr>
        <w:pStyle w:val="Heading2"/>
        <w:keepLines/>
        <w:numPr>
          <w:ilvl w:val="0"/>
          <w:numId w:val="0"/>
        </w:numPr>
        <w:spacing w:before="0" w:after="0"/>
        <w:ind w:left="850" w:hanging="850"/>
      </w:pPr>
      <w:bookmarkStart w:id="252" w:name="_Toc256000125"/>
      <w:r>
        <w:rPr>
          <w:noProof/>
        </w:rPr>
        <w:t>11.3 Equality between men and women</w:t>
      </w:r>
      <w:bookmarkEnd w:id="252"/>
    </w:p>
    <w:p w:rsidR="008D5009" w:rsidRPr="001C2523" w:rsidP="008D5009">
      <w:pPr>
        <w:pStyle w:val="Text1"/>
        <w:keepNext/>
        <w:keepLines/>
        <w:spacing w:before="0" w:after="0"/>
        <w:ind w:left="0"/>
      </w:pPr>
      <w:r>
        <w:rPr>
          <w:noProof/>
        </w:rPr>
        <w:t>Description of contribution of the operational programme to the promotion of equality between men and women and, where appropriate, the arrangements to ensure the integration of the gender perspective at operational programme and operation level.</w:t>
      </w:r>
    </w:p>
    <w:p>
      <w:pPr>
        <w:spacing w:before="0" w:after="240"/>
        <w:jc w:val="left"/>
        <w:rPr>
          <w:rFonts w:ascii="Times New Roman" w:eastAsia="Times New Roman" w:hAnsi="Times New Roman" w:cs="Times New Roman"/>
        </w:rPr>
      </w:pPr>
      <w:r>
        <w:rPr>
          <w:rFonts w:ascii="Times New Roman" w:eastAsia="Times New Roman" w:hAnsi="Times New Roman" w:cs="Times New Roman"/>
        </w:rPr>
        <w:t>Acțiunile POC nu se adresează direct obiectivului de promovare a egalității dintre bărbați și femei, însă va contribui la acesta prin măsuri orizontale aplicate în toate fazele de implementare a programului. Abordarea este similară celei privind aplicarea prinicipiilor egalității de șanse și nondiscriminării și va include măsuri de conștientizare și instruire atât pentru personalul AM și OI cât și pentru beneficiari. Informațiile, cunoștințele și instrumentele pregătite la nivelul MFE, orizontal prin instruiri si Grupul de Lucru Operațional dedicat, pentru aplicarea principiului la nivelul FESI vor fi preluate și adaptate pentru POC.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Asigurarea capacității personalului AM si OI de a aplica principiile egalității  dintre bărbați și femei se va face prin implementarea la nivelul POC a măsurilor pentru satisfacerea conditionalității exante egalitatea de gen incluzîand: instruirea personalului crearea în cadrul AM a unui post de consilier privind egalitatea de gen, participarea la mecanismul de monitorizare a aspectelor privind egalitatea de gen în proiectele FESI.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particular pentru beneficiari vor fi incluse îndrumări privind aplicarea egalității între bărbați și femei în ghidurile, manualele și instruirile de pregătire și implementare a proiectelor. În procesul de selecție vor fi incluse criterii care vor asigura ca proiectele se conformează cerințelor legale privind egalitatea dintre bărăbați și femei și vor încuraja prin măsuri suplimentare aplicarea acestui principiu in implementarea proiectelor.</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Modul în care POC promovează egalitatea între bărbați și femei se va analiza prin evaluarea tematică a principiilor orizontale, planificată la nivelul AP, pentru toate programele operaționale inclusiv POC.</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Asigurarea resurselor umane calificate și susţinerea performanţelor profesionale cu șanse egale pentru femei și bărbați reprezintă elemente esenţiale pentru implementarea unor iniţiative ambiţioase de susţinere a competitivităţii economice. Cu atât mai mult, în cazul priorităţilor de investiţii susţinute de POC este importantă asigurarea unui înalt grad de calificare a resurselor umane şi stimularea performanţelor cu respectarea principiilor orizontale ale promovării politicii de egalitate între femei şi bărbaţi.</w:t>
      </w:r>
    </w:p>
    <w:p w:rsidR="008D5009" w:rsidP="00BF725A">
      <w:pPr>
        <w:pStyle w:val="Text1"/>
        <w:spacing w:before="0" w:after="0"/>
        <w:ind w:left="0"/>
        <w:jc w:val="left"/>
        <w:sectPr w:rsidSect="00426349">
          <w:pgSz w:w="11906" w:h="16838"/>
          <w:pgMar w:top="1022" w:right="1699" w:bottom="1022" w:left="1584" w:header="283" w:footer="283" w:gutter="0"/>
          <w:cols w:space="708"/>
          <w:docGrid w:linePitch="360"/>
        </w:sectPr>
      </w:pPr>
    </w:p>
    <w:p w:rsidR="008D5009" w:rsidP="008D5009">
      <w:pPr>
        <w:pStyle w:val="Heading1"/>
        <w:keepLines/>
        <w:numPr>
          <w:ilvl w:val="0"/>
          <w:numId w:val="0"/>
        </w:numPr>
        <w:spacing w:before="0" w:after="0"/>
        <w:ind w:left="850" w:hanging="850"/>
      </w:pPr>
      <w:bookmarkStart w:id="253" w:name="_Toc256000126"/>
      <w:r>
        <w:rPr>
          <w:noProof/>
        </w:rPr>
        <w:t>12. SEPARATE ELEMENTS</w:t>
      </w:r>
      <w:bookmarkEnd w:id="253"/>
    </w:p>
    <w:p w:rsidR="008D5009" w:rsidP="008D5009">
      <w:pPr>
        <w:keepNext/>
        <w:keepLines/>
        <w:spacing w:before="0" w:after="0"/>
      </w:pPr>
    </w:p>
    <w:p w:rsidR="008D5009" w:rsidP="008D5009">
      <w:pPr>
        <w:pStyle w:val="Heading2"/>
        <w:keepLines/>
        <w:numPr>
          <w:ilvl w:val="0"/>
          <w:numId w:val="0"/>
        </w:numPr>
        <w:spacing w:before="0" w:after="0"/>
        <w:ind w:left="850" w:hanging="850"/>
      </w:pPr>
      <w:bookmarkStart w:id="254" w:name="_Toc256000127"/>
      <w:r>
        <w:rPr>
          <w:noProof/>
        </w:rPr>
        <w:t>12.1 Major projects to be implemented during programming period</w:t>
      </w:r>
      <w:bookmarkEnd w:id="254"/>
    </w:p>
    <w:p w:rsidR="008D5009" w:rsidP="008D5009">
      <w:pPr>
        <w:keepNext/>
        <w:keepLines/>
        <w:spacing w:before="0" w:after="0"/>
      </w:pPr>
    </w:p>
    <w:p w:rsidR="008D5009" w:rsidRPr="003903F0" w:rsidP="008D5009">
      <w:pPr>
        <w:keepNext/>
        <w:keepLines/>
        <w:spacing w:before="0" w:after="0"/>
        <w:rPr>
          <w:b/>
          <w:noProof/>
          <w:color w:val="000000"/>
        </w:rPr>
      </w:pPr>
      <w:r>
        <w:rPr>
          <w:b/>
          <w:noProof/>
        </w:rPr>
        <w:t>Table 27: List of major projects</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4356"/>
        <w:gridCol w:w="2016"/>
        <w:gridCol w:w="1446"/>
        <w:gridCol w:w="1092"/>
        <w:gridCol w:w="6489"/>
      </w:tblGrid>
      <w:tr w:rsidTr="0042634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Ex>
        <w:trPr>
          <w:trHeight w:val="567"/>
          <w:tblHeader/>
        </w:trPr>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P="00426349">
            <w:pPr>
              <w:pStyle w:val="Text1"/>
              <w:spacing w:before="0" w:after="0"/>
              <w:ind w:left="0"/>
              <w:jc w:val="center"/>
              <w:rPr>
                <w:b/>
                <w:color w:val="FF0000"/>
                <w:sz w:val="18"/>
                <w:szCs w:val="18"/>
              </w:rPr>
            </w:pPr>
            <w:r w:rsidRPr="00D14BA1">
              <w:rPr>
                <w:b/>
                <w:noProof/>
                <w:sz w:val="18"/>
                <w:szCs w:val="18"/>
              </w:rPr>
              <w:t>Project</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P="00426349">
            <w:pPr>
              <w:pStyle w:val="Text1"/>
              <w:spacing w:before="0" w:after="0"/>
              <w:ind w:left="0"/>
              <w:jc w:val="center"/>
              <w:rPr>
                <w:b/>
                <w:sz w:val="18"/>
                <w:szCs w:val="18"/>
              </w:rPr>
            </w:pPr>
            <w:r w:rsidRPr="00D14BA1">
              <w:rPr>
                <w:b/>
                <w:noProof/>
                <w:sz w:val="18"/>
                <w:szCs w:val="18"/>
              </w:rPr>
              <w:t>Planned notification/submission date (year, quarter)</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360EB" w:rsidP="00426349">
            <w:pPr>
              <w:pStyle w:val="Text1"/>
              <w:spacing w:before="0" w:after="0"/>
              <w:ind w:left="0"/>
              <w:jc w:val="center"/>
              <w:rPr>
                <w:b/>
                <w:sz w:val="18"/>
                <w:szCs w:val="18"/>
                <w:lang w:val="es-ES"/>
              </w:rPr>
            </w:pPr>
            <w:r w:rsidRPr="00D360EB">
              <w:rPr>
                <w:b/>
                <w:noProof/>
                <w:sz w:val="18"/>
                <w:szCs w:val="18"/>
                <w:lang w:val="es-ES"/>
              </w:rPr>
              <w:t>Planned start of implementation (year, quarter)</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P="00426349">
            <w:pPr>
              <w:pStyle w:val="Text1"/>
              <w:spacing w:before="0" w:after="0"/>
              <w:ind w:left="0"/>
              <w:jc w:val="center"/>
              <w:rPr>
                <w:b/>
                <w:color w:val="FF0000"/>
                <w:sz w:val="18"/>
                <w:szCs w:val="18"/>
              </w:rPr>
            </w:pPr>
            <w:r w:rsidRPr="00D14BA1">
              <w:rPr>
                <w:b/>
                <w:noProof/>
                <w:sz w:val="18"/>
                <w:szCs w:val="18"/>
              </w:rPr>
              <w:t>Planned completion date (year, quarter)</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D14BA1" w:rsidP="00426349">
            <w:pPr>
              <w:pStyle w:val="Text1"/>
              <w:spacing w:before="0" w:after="0"/>
              <w:ind w:left="0"/>
              <w:jc w:val="center"/>
              <w:rPr>
                <w:b/>
                <w:color w:val="FF0000"/>
                <w:sz w:val="18"/>
                <w:szCs w:val="18"/>
              </w:rPr>
            </w:pPr>
            <w:r w:rsidRPr="00D14BA1">
              <w:rPr>
                <w:b/>
                <w:noProof/>
                <w:sz w:val="18"/>
                <w:szCs w:val="18"/>
              </w:rPr>
              <w:t>Priority Axes / Investment Priorities</w:t>
            </w:r>
          </w:p>
        </w:tc>
      </w:tr>
      <w:tr w:rsidTr="00426349">
        <w:tblPrEx>
          <w:tblW w:w="5000" w:type="pct"/>
          <w:tblLook w:val="0420"/>
        </w:tblPrEx>
        <w:trPr>
          <w:trHeight w:val="271"/>
        </w:trPr>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noProof/>
                <w:sz w:val="16"/>
                <w:szCs w:val="16"/>
              </w:rPr>
              <w:t>Proiectul Extreme Light Infrastructure - Nuclear Physics (ELI-NP), faza 2</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2014, Q4</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2015, Q1</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2016, Q4</w:t>
            </w:r>
          </w:p>
        </w:tc>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sz w:val="16"/>
                <w:szCs w:val="16"/>
              </w:rPr>
              <w:t xml:space="preserve"> </w:t>
            </w:r>
            <w:r>
              <w:rPr>
                <w:noProof/>
                <w:sz w:val="16"/>
                <w:szCs w:val="16"/>
              </w:rPr>
              <w:t>AP1</w:t>
            </w:r>
            <w:r>
              <w:rPr>
                <w:sz w:val="16"/>
                <w:szCs w:val="16"/>
              </w:rPr>
              <w:t xml:space="preserve"> - </w:t>
            </w:r>
            <w:r>
              <w:rPr>
                <w:noProof/>
                <w:sz w:val="16"/>
                <w:szCs w:val="16"/>
              </w:rPr>
              <w:t>Cercetare, dezvoltare tehnologica si inovare (CDI) in sprijinul competitivitatii economice si dezvoltarii afacerilor</w:t>
            </w:r>
            <w:r>
              <w:rPr>
                <w:sz w:val="16"/>
                <w:szCs w:val="16"/>
              </w:rPr>
              <w:t xml:space="preserve"> / </w:t>
            </w:r>
            <w:r>
              <w:rPr>
                <w:noProof/>
                <w:sz w:val="16"/>
                <w:szCs w:val="16"/>
              </w:rPr>
              <w:t>1a</w:t>
            </w:r>
            <w:r>
              <w:rPr>
                <w:sz w:val="16"/>
                <w:szCs w:val="16"/>
              </w:rPr>
              <w:t xml:space="preserve"> - </w:t>
            </w:r>
            <w:r>
              <w:rPr>
                <w:noProof/>
                <w:sz w:val="16"/>
                <w:szCs w:val="16"/>
              </w:rPr>
              <w:t>Enhancing research and innovation (R&amp;I) infrastructure and capacities to develop R&amp;I excellence, and promoting centres of competence, in particular those of European interest</w:t>
            </w:r>
            <w:r>
              <w:rPr>
                <w:sz w:val="16"/>
                <w:szCs w:val="16"/>
              </w:rPr>
              <w:t xml:space="preserve"> </w:t>
            </w:r>
          </w:p>
        </w:tc>
      </w:tr>
      <w:tr w:rsidTr="00426349">
        <w:tblPrEx>
          <w:tblW w:w="5000" w:type="pct"/>
          <w:tblLook w:val="0420"/>
        </w:tblPrEx>
        <w:trPr>
          <w:trHeight w:val="271"/>
        </w:trPr>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sz w:val="16"/>
                <w:szCs w:val="16"/>
              </w:rPr>
              <w:t>R</w:t>
            </w:r>
            <w:r>
              <w:rPr>
                <w:sz w:val="16"/>
                <w:szCs w:val="16"/>
              </w:rPr>
              <w:t>o</w:t>
            </w:r>
            <w:r>
              <w:rPr>
                <w:sz w:val="16"/>
                <w:szCs w:val="16"/>
              </w:rPr>
              <w:t>-</w:t>
            </w:r>
            <w:r>
              <w:rPr>
                <w:sz w:val="16"/>
                <w:szCs w:val="16"/>
              </w:rPr>
              <w:t>N</w:t>
            </w:r>
            <w:r>
              <w:rPr>
                <w:sz w:val="16"/>
                <w:szCs w:val="16"/>
              </w:rPr>
              <w:t>E</w:t>
            </w:r>
            <w:r>
              <w:rPr>
                <w:sz w:val="16"/>
                <w:szCs w:val="16"/>
              </w:rPr>
              <w:t>T</w:t>
            </w:r>
            <w:r>
              <w:rPr>
                <w:sz w:val="16"/>
                <w:szCs w:val="16"/>
              </w:rPr>
              <w:t xml:space="preserve"> </w:t>
            </w:r>
            <w:r>
              <w:rPr>
                <w:sz w:val="16"/>
                <w:szCs w:val="16"/>
              </w:rPr>
              <w:t>–</w:t>
            </w:r>
            <w:r>
              <w:rPr>
                <w:sz w:val="16"/>
                <w:szCs w:val="16"/>
              </w:rPr>
              <w:t xml:space="preserve"> </w:t>
            </w:r>
            <w:r>
              <w:rPr>
                <w:sz w:val="16"/>
                <w:szCs w:val="16"/>
              </w:rPr>
              <w:t>D</w:t>
            </w:r>
            <w:r>
              <w:rPr>
                <w:sz w:val="16"/>
                <w:szCs w:val="16"/>
              </w:rPr>
              <w:t>e</w:t>
            </w:r>
            <w:r>
              <w:rPr>
                <w:sz w:val="16"/>
                <w:szCs w:val="16"/>
              </w:rPr>
              <w:t>z</w:t>
            </w:r>
            <w:r>
              <w:rPr>
                <w:sz w:val="16"/>
                <w:szCs w:val="16"/>
              </w:rPr>
              <w:t>v</w:t>
            </w:r>
            <w:r>
              <w:rPr>
                <w:sz w:val="16"/>
                <w:szCs w:val="16"/>
              </w:rPr>
              <w:t>o</w:t>
            </w:r>
            <w:r>
              <w:rPr>
                <w:sz w:val="16"/>
                <w:szCs w:val="16"/>
              </w:rPr>
              <w:t>l</w:t>
            </w:r>
            <w:r>
              <w:rPr>
                <w:sz w:val="16"/>
                <w:szCs w:val="16"/>
              </w:rPr>
              <w:t>t</w:t>
            </w:r>
            <w:r>
              <w:rPr>
                <w:sz w:val="16"/>
                <w:szCs w:val="16"/>
              </w:rPr>
              <w:t>a</w:t>
            </w:r>
            <w:r>
              <w:rPr>
                <w:sz w:val="16"/>
                <w:szCs w:val="16"/>
              </w:rPr>
              <w:t>r</w:t>
            </w:r>
            <w:r>
              <w:rPr>
                <w:sz w:val="16"/>
                <w:szCs w:val="16"/>
              </w:rPr>
              <w:t>e</w:t>
            </w:r>
            <w:r>
              <w:rPr>
                <w:sz w:val="16"/>
                <w:szCs w:val="16"/>
              </w:rPr>
              <w:t>a</w:t>
            </w:r>
            <w:r>
              <w:rPr>
                <w:sz w:val="16"/>
                <w:szCs w:val="16"/>
              </w:rPr>
              <w:t xml:space="preserve"> </w:t>
            </w:r>
            <w:r>
              <w:rPr>
                <w:sz w:val="16"/>
                <w:szCs w:val="16"/>
              </w:rPr>
              <w:t>i</w:t>
            </w:r>
            <w:r>
              <w:rPr>
                <w:sz w:val="16"/>
                <w:szCs w:val="16"/>
              </w:rPr>
              <w:t>n</w:t>
            </w:r>
            <w:r>
              <w:rPr>
                <w:sz w:val="16"/>
                <w:szCs w:val="16"/>
              </w:rPr>
              <w:t>f</w:t>
            </w:r>
            <w:r>
              <w:rPr>
                <w:sz w:val="16"/>
                <w:szCs w:val="16"/>
              </w:rPr>
              <w:t>r</w:t>
            </w:r>
            <w:r>
              <w:rPr>
                <w:sz w:val="16"/>
                <w:szCs w:val="16"/>
              </w:rPr>
              <w:t>a</w:t>
            </w:r>
            <w:r>
              <w:rPr>
                <w:sz w:val="16"/>
                <w:szCs w:val="16"/>
              </w:rPr>
              <w:t>s</w:t>
            </w:r>
            <w:r>
              <w:rPr>
                <w:sz w:val="16"/>
                <w:szCs w:val="16"/>
              </w:rPr>
              <w:t>t</w:t>
            </w:r>
            <w:r>
              <w:rPr>
                <w:sz w:val="16"/>
                <w:szCs w:val="16"/>
              </w:rPr>
              <w:t>r</w:t>
            </w:r>
            <w:r>
              <w:rPr>
                <w:sz w:val="16"/>
                <w:szCs w:val="16"/>
              </w:rPr>
              <w:t>u</w:t>
            </w:r>
            <w:r>
              <w:rPr>
                <w:sz w:val="16"/>
                <w:szCs w:val="16"/>
              </w:rPr>
              <w:t>c</w:t>
            </w:r>
            <w:r>
              <w:rPr>
                <w:sz w:val="16"/>
                <w:szCs w:val="16"/>
              </w:rPr>
              <w:t>t</w:t>
            </w:r>
            <w:r>
              <w:rPr>
                <w:sz w:val="16"/>
                <w:szCs w:val="16"/>
              </w:rPr>
              <w:t>u</w:t>
            </w:r>
            <w:r>
              <w:rPr>
                <w:sz w:val="16"/>
                <w:szCs w:val="16"/>
              </w:rPr>
              <w:t>r</w:t>
            </w:r>
            <w:r>
              <w:rPr>
                <w:sz w:val="16"/>
                <w:szCs w:val="16"/>
              </w:rPr>
              <w:t>i</w:t>
            </w:r>
            <w:r>
              <w:rPr>
                <w:sz w:val="16"/>
                <w:szCs w:val="16"/>
              </w:rPr>
              <w:t>i</w:t>
            </w:r>
            <w:r>
              <w:rPr>
                <w:sz w:val="16"/>
                <w:szCs w:val="16"/>
              </w:rPr>
              <w:t xml:space="preserve"> </w:t>
            </w:r>
            <w:r>
              <w:rPr>
                <w:sz w:val="16"/>
                <w:szCs w:val="16"/>
              </w:rPr>
              <w:t>d</w:t>
            </w:r>
            <w:r>
              <w:rPr>
                <w:sz w:val="16"/>
                <w:szCs w:val="16"/>
              </w:rPr>
              <w:t>e</w:t>
            </w:r>
            <w:r>
              <w:rPr>
                <w:sz w:val="16"/>
                <w:szCs w:val="16"/>
              </w:rPr>
              <w:t xml:space="preserve"> </w:t>
            </w:r>
            <w:r>
              <w:rPr>
                <w:sz w:val="16"/>
                <w:szCs w:val="16"/>
              </w:rPr>
              <w:t>b</w:t>
            </w:r>
            <w:r>
              <w:rPr>
                <w:sz w:val="16"/>
                <w:szCs w:val="16"/>
              </w:rPr>
              <w:t>a</w:t>
            </w:r>
            <w:r>
              <w:rPr>
                <w:sz w:val="16"/>
                <w:szCs w:val="16"/>
              </w:rPr>
              <w:t>n</w:t>
            </w:r>
            <w:r>
              <w:rPr>
                <w:sz w:val="16"/>
                <w:szCs w:val="16"/>
              </w:rPr>
              <w:t>d</w:t>
            </w:r>
            <w:r>
              <w:rPr>
                <w:sz w:val="16"/>
                <w:szCs w:val="16"/>
              </w:rPr>
              <w:t>ă</w:t>
            </w:r>
            <w:r>
              <w:rPr>
                <w:sz w:val="16"/>
                <w:szCs w:val="16"/>
              </w:rPr>
              <w:t xml:space="preserve"> </w:t>
            </w:r>
            <w:r>
              <w:rPr>
                <w:sz w:val="16"/>
                <w:szCs w:val="16"/>
              </w:rPr>
              <w:t>l</w:t>
            </w:r>
            <w:r>
              <w:rPr>
                <w:sz w:val="16"/>
                <w:szCs w:val="16"/>
              </w:rPr>
              <w:t>a</w:t>
            </w:r>
            <w:r>
              <w:rPr>
                <w:sz w:val="16"/>
                <w:szCs w:val="16"/>
              </w:rPr>
              <w:t>r</w:t>
            </w:r>
            <w:r>
              <w:rPr>
                <w:sz w:val="16"/>
                <w:szCs w:val="16"/>
              </w:rPr>
              <w:t>g</w:t>
            </w:r>
            <w:r>
              <w:rPr>
                <w:sz w:val="16"/>
                <w:szCs w:val="16"/>
              </w:rPr>
              <w:t>ă</w:t>
            </w:r>
            <w:r>
              <w:rPr>
                <w:sz w:val="16"/>
                <w:szCs w:val="16"/>
              </w:rPr>
              <w:t xml:space="preserve"> </w:t>
            </w:r>
            <w:r>
              <w:rPr>
                <w:sz w:val="16"/>
                <w:szCs w:val="16"/>
              </w:rPr>
              <w:t>î</w:t>
            </w:r>
            <w:r>
              <w:rPr>
                <w:sz w:val="16"/>
                <w:szCs w:val="16"/>
              </w:rPr>
              <w:t>n</w:t>
            </w:r>
            <w:r>
              <w:rPr>
                <w:sz w:val="16"/>
                <w:szCs w:val="16"/>
              </w:rPr>
              <w:t xml:space="preserve"> </w:t>
            </w:r>
            <w:r>
              <w:rPr>
                <w:sz w:val="16"/>
                <w:szCs w:val="16"/>
              </w:rPr>
              <w:t>z</w:t>
            </w:r>
            <w:r>
              <w:rPr>
                <w:sz w:val="16"/>
                <w:szCs w:val="16"/>
              </w:rPr>
              <w:t>o</w:t>
            </w:r>
            <w:r>
              <w:rPr>
                <w:sz w:val="16"/>
                <w:szCs w:val="16"/>
              </w:rPr>
              <w:t>n</w:t>
            </w:r>
            <w:r>
              <w:rPr>
                <w:sz w:val="16"/>
                <w:szCs w:val="16"/>
              </w:rPr>
              <w:t>e</w:t>
            </w:r>
            <w:r>
              <w:rPr>
                <w:sz w:val="16"/>
                <w:szCs w:val="16"/>
              </w:rPr>
              <w:t xml:space="preserve"> </w:t>
            </w:r>
            <w:r>
              <w:rPr>
                <w:sz w:val="16"/>
                <w:szCs w:val="16"/>
              </w:rPr>
              <w:t>n</w:t>
            </w:r>
            <w:r>
              <w:rPr>
                <w:sz w:val="16"/>
                <w:szCs w:val="16"/>
              </w:rPr>
              <w:t>e</w:t>
            </w:r>
            <w:r>
              <w:rPr>
                <w:sz w:val="16"/>
                <w:szCs w:val="16"/>
              </w:rPr>
              <w:t>d</w:t>
            </w:r>
            <w:r>
              <w:rPr>
                <w:sz w:val="16"/>
                <w:szCs w:val="16"/>
              </w:rPr>
              <w:t>e</w:t>
            </w:r>
            <w:r>
              <w:rPr>
                <w:sz w:val="16"/>
                <w:szCs w:val="16"/>
              </w:rPr>
              <w:t>s</w:t>
            </w:r>
            <w:r>
              <w:rPr>
                <w:sz w:val="16"/>
                <w:szCs w:val="16"/>
              </w:rPr>
              <w:t>e</w:t>
            </w:r>
            <w:r>
              <w:rPr>
                <w:sz w:val="16"/>
                <w:szCs w:val="16"/>
              </w:rPr>
              <w:t>r</w:t>
            </w:r>
            <w:r>
              <w:rPr>
                <w:sz w:val="16"/>
                <w:szCs w:val="16"/>
              </w:rPr>
              <w:t>v</w:t>
            </w:r>
            <w:r>
              <w:rPr>
                <w:sz w:val="16"/>
                <w:szCs w:val="16"/>
              </w:rPr>
              <w:t>i</w:t>
            </w:r>
            <w:r>
              <w:rPr>
                <w:sz w:val="16"/>
                <w:szCs w:val="16"/>
              </w:rPr>
              <w:t>t</w:t>
            </w:r>
            <w:r>
              <w:rPr>
                <w:sz w:val="16"/>
                <w:szCs w:val="16"/>
              </w:rPr>
              <w:t>e</w:t>
            </w:r>
            <w:r>
              <w:rPr>
                <w:sz w:val="16"/>
                <w:szCs w:val="16"/>
              </w:rPr>
              <w:fldChar w:fldCharType="begin"/>
            </w:r>
            <w:r>
              <w:rPr>
                <w:sz w:val="16"/>
                <w:szCs w:val="16"/>
              </w:rPr>
              <w:instrText xml:space="preserve">QUOTE </w:instrText>
            </w:r>
            <w:r>
              <w:rPr>
                <w:sz w:val="16"/>
                <w:szCs w:val="16"/>
              </w:rPr>
              <w:instrText>34</w:instrText>
            </w:r>
            <w:r>
              <w:rPr>
                <w:sz w:val="16"/>
                <w:szCs w:val="16"/>
              </w:rPr>
              <w:fldChar w:fldCharType="separate"/>
            </w:r>
            <w:r>
              <w:t>"</w:t>
            </w:r>
            <w:r>
              <w:rPr>
                <w:sz w:val="16"/>
                <w:szCs w:val="16"/>
              </w:rPr>
              <w:fldChar w:fldCharType="end"/>
            </w:r>
            <w:r>
              <w:rPr>
                <w:sz w:val="16"/>
                <w:szCs w:val="16"/>
              </w:rPr>
              <w:t xml:space="preserve"> </w:t>
            </w:r>
            <w:r>
              <w:rPr>
                <w:sz w:val="16"/>
                <w:szCs w:val="16"/>
              </w:rPr>
              <w:t>(</w:t>
            </w:r>
            <w:r>
              <w:rPr>
                <w:sz w:val="16"/>
                <w:szCs w:val="16"/>
              </w:rPr>
              <w:t>B</w:t>
            </w:r>
            <w:r>
              <w:rPr>
                <w:sz w:val="16"/>
                <w:szCs w:val="16"/>
              </w:rPr>
              <w:t>u</w:t>
            </w:r>
            <w:r>
              <w:rPr>
                <w:sz w:val="16"/>
                <w:szCs w:val="16"/>
              </w:rPr>
              <w:t>i</w:t>
            </w:r>
            <w:r>
              <w:rPr>
                <w:sz w:val="16"/>
                <w:szCs w:val="16"/>
              </w:rPr>
              <w:t>l</w:t>
            </w:r>
            <w:r>
              <w:rPr>
                <w:sz w:val="16"/>
                <w:szCs w:val="16"/>
              </w:rPr>
              <w:t>d</w:t>
            </w:r>
            <w:r>
              <w:rPr>
                <w:sz w:val="16"/>
                <w:szCs w:val="16"/>
              </w:rPr>
              <w:t>i</w:t>
            </w:r>
            <w:r>
              <w:rPr>
                <w:sz w:val="16"/>
                <w:szCs w:val="16"/>
              </w:rPr>
              <w:t>n</w:t>
            </w:r>
            <w:r>
              <w:rPr>
                <w:sz w:val="16"/>
                <w:szCs w:val="16"/>
              </w:rPr>
              <w:t>g</w:t>
            </w:r>
            <w:r>
              <w:rPr>
                <w:sz w:val="16"/>
                <w:szCs w:val="16"/>
              </w:rPr>
              <w:t xml:space="preserve"> </w:t>
            </w:r>
            <w:r>
              <w:rPr>
                <w:sz w:val="16"/>
                <w:szCs w:val="16"/>
              </w:rPr>
              <w:t>a</w:t>
            </w:r>
            <w:r>
              <w:rPr>
                <w:sz w:val="16"/>
                <w:szCs w:val="16"/>
              </w:rPr>
              <w:t xml:space="preserve"> </w:t>
            </w:r>
            <w:r>
              <w:rPr>
                <w:sz w:val="16"/>
                <w:szCs w:val="16"/>
              </w:rPr>
              <w:t>n</w:t>
            </w:r>
            <w:r>
              <w:rPr>
                <w:sz w:val="16"/>
                <w:szCs w:val="16"/>
              </w:rPr>
              <w:t>a</w:t>
            </w:r>
            <w:r>
              <w:rPr>
                <w:sz w:val="16"/>
                <w:szCs w:val="16"/>
              </w:rPr>
              <w:t>t</w:t>
            </w:r>
            <w:r>
              <w:rPr>
                <w:sz w:val="16"/>
                <w:szCs w:val="16"/>
              </w:rPr>
              <w:t>i</w:t>
            </w:r>
            <w:r>
              <w:rPr>
                <w:sz w:val="16"/>
                <w:szCs w:val="16"/>
              </w:rPr>
              <w:t>o</w:t>
            </w:r>
            <w:r>
              <w:rPr>
                <w:sz w:val="16"/>
                <w:szCs w:val="16"/>
              </w:rPr>
              <w:t>n</w:t>
            </w:r>
            <w:r>
              <w:rPr>
                <w:sz w:val="16"/>
                <w:szCs w:val="16"/>
              </w:rPr>
              <w:t>a</w:t>
            </w:r>
            <w:r>
              <w:rPr>
                <w:sz w:val="16"/>
                <w:szCs w:val="16"/>
              </w:rPr>
              <w:t>l</w:t>
            </w:r>
            <w:r>
              <w:rPr>
                <w:sz w:val="16"/>
                <w:szCs w:val="16"/>
              </w:rPr>
              <w:t xml:space="preserve"> </w:t>
            </w:r>
            <w:r>
              <w:rPr>
                <w:sz w:val="16"/>
                <w:szCs w:val="16"/>
              </w:rPr>
              <w:t>b</w:t>
            </w:r>
            <w:r>
              <w:rPr>
                <w:sz w:val="16"/>
                <w:szCs w:val="16"/>
              </w:rPr>
              <w:t>r</w:t>
            </w:r>
            <w:r>
              <w:rPr>
                <w:sz w:val="16"/>
                <w:szCs w:val="16"/>
              </w:rPr>
              <w:t>o</w:t>
            </w:r>
            <w:r>
              <w:rPr>
                <w:sz w:val="16"/>
                <w:szCs w:val="16"/>
              </w:rPr>
              <w:t>a</w:t>
            </w:r>
            <w:r>
              <w:rPr>
                <w:sz w:val="16"/>
                <w:szCs w:val="16"/>
              </w:rPr>
              <w:t>d</w:t>
            </w:r>
            <w:r>
              <w:rPr>
                <w:sz w:val="16"/>
                <w:szCs w:val="16"/>
              </w:rPr>
              <w:t>b</w:t>
            </w:r>
            <w:r>
              <w:rPr>
                <w:sz w:val="16"/>
                <w:szCs w:val="16"/>
              </w:rPr>
              <w:t>a</w:t>
            </w:r>
            <w:r>
              <w:rPr>
                <w:sz w:val="16"/>
                <w:szCs w:val="16"/>
              </w:rPr>
              <w:t>n</w:t>
            </w:r>
            <w:r>
              <w:rPr>
                <w:sz w:val="16"/>
                <w:szCs w:val="16"/>
              </w:rPr>
              <w:t>d</w:t>
            </w:r>
            <w:r>
              <w:rPr>
                <w:sz w:val="16"/>
                <w:szCs w:val="16"/>
              </w:rPr>
              <w:t xml:space="preserve"> </w:t>
            </w:r>
            <w:r>
              <w:rPr>
                <w:sz w:val="16"/>
                <w:szCs w:val="16"/>
              </w:rPr>
              <w:t>i</w:t>
            </w:r>
            <w:r>
              <w:rPr>
                <w:sz w:val="16"/>
                <w:szCs w:val="16"/>
              </w:rPr>
              <w:t>n</w:t>
            </w:r>
            <w:r>
              <w:rPr>
                <w:sz w:val="16"/>
                <w:szCs w:val="16"/>
              </w:rPr>
              <w:t>f</w:t>
            </w:r>
            <w:r>
              <w:rPr>
                <w:sz w:val="16"/>
                <w:szCs w:val="16"/>
              </w:rPr>
              <w:t>r</w:t>
            </w:r>
            <w:r>
              <w:rPr>
                <w:sz w:val="16"/>
                <w:szCs w:val="16"/>
              </w:rPr>
              <w:t>a</w:t>
            </w:r>
            <w:r>
              <w:rPr>
                <w:sz w:val="16"/>
                <w:szCs w:val="16"/>
              </w:rPr>
              <w:t>s</w:t>
            </w:r>
            <w:r>
              <w:rPr>
                <w:sz w:val="16"/>
                <w:szCs w:val="16"/>
              </w:rPr>
              <w:t>t</w:t>
            </w:r>
            <w:r>
              <w:rPr>
                <w:sz w:val="16"/>
                <w:szCs w:val="16"/>
              </w:rPr>
              <w:t>r</w:t>
            </w:r>
            <w:r>
              <w:rPr>
                <w:sz w:val="16"/>
                <w:szCs w:val="16"/>
              </w:rPr>
              <w:t>u</w:t>
            </w:r>
            <w:r>
              <w:rPr>
                <w:sz w:val="16"/>
                <w:szCs w:val="16"/>
              </w:rPr>
              <w:t>c</w:t>
            </w:r>
            <w:r>
              <w:rPr>
                <w:sz w:val="16"/>
                <w:szCs w:val="16"/>
              </w:rPr>
              <w:t>t</w:t>
            </w:r>
            <w:r>
              <w:rPr>
                <w:sz w:val="16"/>
                <w:szCs w:val="16"/>
              </w:rPr>
              <w:t>u</w:t>
            </w:r>
            <w:r>
              <w:rPr>
                <w:sz w:val="16"/>
                <w:szCs w:val="16"/>
              </w:rPr>
              <w:t>r</w:t>
            </w:r>
            <w:r>
              <w:rPr>
                <w:sz w:val="16"/>
                <w:szCs w:val="16"/>
              </w:rPr>
              <w:t>e</w:t>
            </w:r>
            <w:r>
              <w:rPr>
                <w:sz w:val="16"/>
                <w:szCs w:val="16"/>
              </w:rPr>
              <w:t xml:space="preserve"> </w:t>
            </w:r>
            <w:r>
              <w:rPr>
                <w:sz w:val="16"/>
                <w:szCs w:val="16"/>
              </w:rPr>
              <w:t>i</w:t>
            </w:r>
            <w:r>
              <w:rPr>
                <w:sz w:val="16"/>
                <w:szCs w:val="16"/>
              </w:rPr>
              <w:t>n</w:t>
            </w:r>
            <w:r>
              <w:rPr>
                <w:sz w:val="16"/>
                <w:szCs w:val="16"/>
              </w:rPr>
              <w:t xml:space="preserve"> </w:t>
            </w:r>
            <w:r>
              <w:rPr>
                <w:sz w:val="16"/>
                <w:szCs w:val="16"/>
              </w:rPr>
              <w:t>d</w:t>
            </w:r>
            <w:r>
              <w:rPr>
                <w:sz w:val="16"/>
                <w:szCs w:val="16"/>
              </w:rPr>
              <w:t>i</w:t>
            </w:r>
            <w:r>
              <w:rPr>
                <w:sz w:val="16"/>
                <w:szCs w:val="16"/>
              </w:rPr>
              <w:t>s</w:t>
            </w:r>
            <w:r>
              <w:rPr>
                <w:sz w:val="16"/>
                <w:szCs w:val="16"/>
              </w:rPr>
              <w:t>a</w:t>
            </w:r>
            <w:r>
              <w:rPr>
                <w:sz w:val="16"/>
                <w:szCs w:val="16"/>
              </w:rPr>
              <w:t>d</w:t>
            </w:r>
            <w:r>
              <w:rPr>
                <w:sz w:val="16"/>
                <w:szCs w:val="16"/>
              </w:rPr>
              <w:t>v</w:t>
            </w:r>
            <w:r>
              <w:rPr>
                <w:sz w:val="16"/>
                <w:szCs w:val="16"/>
              </w:rPr>
              <w:t>a</w:t>
            </w:r>
            <w:r>
              <w:rPr>
                <w:sz w:val="16"/>
                <w:szCs w:val="16"/>
              </w:rPr>
              <w:t>n</w:t>
            </w:r>
            <w:r>
              <w:rPr>
                <w:sz w:val="16"/>
                <w:szCs w:val="16"/>
              </w:rPr>
              <w:t>t</w:t>
            </w:r>
            <w:r>
              <w:rPr>
                <w:sz w:val="16"/>
                <w:szCs w:val="16"/>
              </w:rPr>
              <w:t>a</w:t>
            </w:r>
            <w:r>
              <w:rPr>
                <w:sz w:val="16"/>
                <w:szCs w:val="16"/>
              </w:rPr>
              <w:t>g</w:t>
            </w:r>
            <w:r>
              <w:rPr>
                <w:sz w:val="16"/>
                <w:szCs w:val="16"/>
              </w:rPr>
              <w:t>e</w:t>
            </w:r>
            <w:r>
              <w:rPr>
                <w:sz w:val="16"/>
                <w:szCs w:val="16"/>
              </w:rPr>
              <w:t>d</w:t>
            </w:r>
            <w:r>
              <w:rPr>
                <w:sz w:val="16"/>
                <w:szCs w:val="16"/>
              </w:rPr>
              <w:t xml:space="preserve"> </w:t>
            </w:r>
            <w:r>
              <w:rPr>
                <w:sz w:val="16"/>
                <w:szCs w:val="16"/>
              </w:rPr>
              <w:t>a</w:t>
            </w:r>
            <w:r>
              <w:rPr>
                <w:sz w:val="16"/>
                <w:szCs w:val="16"/>
              </w:rPr>
              <w:t>r</w:t>
            </w:r>
            <w:r>
              <w:rPr>
                <w:sz w:val="16"/>
                <w:szCs w:val="16"/>
              </w:rPr>
              <w:t>e</w:t>
            </w:r>
            <w:r>
              <w:rPr>
                <w:sz w:val="16"/>
                <w:szCs w:val="16"/>
              </w:rPr>
              <w:t>a</w:t>
            </w:r>
            <w:r>
              <w:rPr>
                <w:sz w:val="16"/>
                <w:szCs w:val="16"/>
              </w:rPr>
              <w:t>s</w:t>
            </w:r>
            <w:r>
              <w:rPr>
                <w:sz w:val="16"/>
                <w:szCs w:val="16"/>
              </w:rPr>
              <w:t>,</w:t>
            </w:r>
            <w:r>
              <w:rPr>
                <w:sz w:val="16"/>
                <w:szCs w:val="16"/>
              </w:rPr>
              <w:t xml:space="preserve"> </w:t>
            </w:r>
            <w:r>
              <w:rPr>
                <w:sz w:val="16"/>
                <w:szCs w:val="16"/>
              </w:rPr>
              <w:t>t</w:t>
            </w:r>
            <w:r>
              <w:rPr>
                <w:sz w:val="16"/>
                <w:szCs w:val="16"/>
              </w:rPr>
              <w:t>h</w:t>
            </w:r>
            <w:r>
              <w:rPr>
                <w:sz w:val="16"/>
                <w:szCs w:val="16"/>
              </w:rPr>
              <w:t>r</w:t>
            </w:r>
            <w:r>
              <w:rPr>
                <w:sz w:val="16"/>
                <w:szCs w:val="16"/>
              </w:rPr>
              <w:t>o</w:t>
            </w:r>
            <w:r>
              <w:rPr>
                <w:sz w:val="16"/>
                <w:szCs w:val="16"/>
              </w:rPr>
              <w:t>u</w:t>
            </w:r>
            <w:r>
              <w:rPr>
                <w:sz w:val="16"/>
                <w:szCs w:val="16"/>
              </w:rPr>
              <w:t>g</w:t>
            </w:r>
            <w:r>
              <w:rPr>
                <w:sz w:val="16"/>
                <w:szCs w:val="16"/>
              </w:rPr>
              <w:t>h</w:t>
            </w:r>
            <w:r>
              <w:rPr>
                <w:sz w:val="16"/>
                <w:szCs w:val="16"/>
              </w:rPr>
              <w:t xml:space="preserve"> </w:t>
            </w:r>
            <w:r>
              <w:rPr>
                <w:sz w:val="16"/>
                <w:szCs w:val="16"/>
              </w:rPr>
              <w:t>t</w:t>
            </w:r>
            <w:r>
              <w:rPr>
                <w:sz w:val="16"/>
                <w:szCs w:val="16"/>
              </w:rPr>
              <w:t>h</w:t>
            </w:r>
            <w:r>
              <w:rPr>
                <w:sz w:val="16"/>
                <w:szCs w:val="16"/>
              </w:rPr>
              <w:t>e</w:t>
            </w:r>
            <w:r>
              <w:rPr>
                <w:sz w:val="16"/>
                <w:szCs w:val="16"/>
              </w:rPr>
              <w:t xml:space="preserve"> </w:t>
            </w:r>
            <w:r>
              <w:rPr>
                <w:sz w:val="16"/>
                <w:szCs w:val="16"/>
              </w:rPr>
              <w:t>u</w:t>
            </w:r>
            <w:r>
              <w:rPr>
                <w:sz w:val="16"/>
                <w:szCs w:val="16"/>
              </w:rPr>
              <w:t>s</w:t>
            </w:r>
            <w:r>
              <w:rPr>
                <w:sz w:val="16"/>
                <w:szCs w:val="16"/>
              </w:rPr>
              <w:t>e</w:t>
            </w:r>
            <w:r>
              <w:rPr>
                <w:sz w:val="16"/>
                <w:szCs w:val="16"/>
              </w:rPr>
              <w:t xml:space="preserve"> </w:t>
            </w:r>
            <w:r>
              <w:rPr>
                <w:sz w:val="16"/>
                <w:szCs w:val="16"/>
              </w:rPr>
              <w:t>o</w:t>
            </w:r>
            <w:r>
              <w:rPr>
                <w:sz w:val="16"/>
                <w:szCs w:val="16"/>
              </w:rPr>
              <w:t>f</w:t>
            </w:r>
            <w:r>
              <w:rPr>
                <w:sz w:val="16"/>
                <w:szCs w:val="16"/>
              </w:rPr>
              <w:t xml:space="preserve"> </w:t>
            </w:r>
            <w:r>
              <w:rPr>
                <w:sz w:val="16"/>
                <w:szCs w:val="16"/>
              </w:rPr>
              <w:t>s</w:t>
            </w:r>
            <w:r>
              <w:rPr>
                <w:sz w:val="16"/>
                <w:szCs w:val="16"/>
              </w:rPr>
              <w:t>t</w:t>
            </w:r>
            <w:r>
              <w:rPr>
                <w:sz w:val="16"/>
                <w:szCs w:val="16"/>
              </w:rPr>
              <w:t>r</w:t>
            </w:r>
            <w:r>
              <w:rPr>
                <w:sz w:val="16"/>
                <w:szCs w:val="16"/>
              </w:rPr>
              <w:t>u</w:t>
            </w:r>
            <w:r>
              <w:rPr>
                <w:sz w:val="16"/>
                <w:szCs w:val="16"/>
              </w:rPr>
              <w:t>c</w:t>
            </w:r>
            <w:r>
              <w:rPr>
                <w:sz w:val="16"/>
                <w:szCs w:val="16"/>
              </w:rPr>
              <w:t>t</w:t>
            </w:r>
            <w:r>
              <w:rPr>
                <w:sz w:val="16"/>
                <w:szCs w:val="16"/>
              </w:rPr>
              <w:t>u</w:t>
            </w:r>
            <w:r>
              <w:rPr>
                <w:sz w:val="16"/>
                <w:szCs w:val="16"/>
              </w:rPr>
              <w:t>r</w:t>
            </w:r>
            <w:r>
              <w:rPr>
                <w:sz w:val="16"/>
                <w:szCs w:val="16"/>
              </w:rPr>
              <w:t>a</w:t>
            </w:r>
            <w:r>
              <w:rPr>
                <w:sz w:val="16"/>
                <w:szCs w:val="16"/>
              </w:rPr>
              <w:t>l</w:t>
            </w:r>
            <w:r>
              <w:rPr>
                <w:sz w:val="16"/>
                <w:szCs w:val="16"/>
              </w:rPr>
              <w:t xml:space="preserve"> </w:t>
            </w:r>
            <w:r>
              <w:rPr>
                <w:sz w:val="16"/>
                <w:szCs w:val="16"/>
              </w:rPr>
              <w:t>f</w:t>
            </w:r>
            <w:r>
              <w:rPr>
                <w:sz w:val="16"/>
                <w:szCs w:val="16"/>
              </w:rPr>
              <w:t>u</w:t>
            </w:r>
            <w:r>
              <w:rPr>
                <w:sz w:val="16"/>
                <w:szCs w:val="16"/>
              </w:rPr>
              <w:t>n</w:t>
            </w:r>
            <w:r>
              <w:rPr>
                <w:sz w:val="16"/>
                <w:szCs w:val="16"/>
              </w:rPr>
              <w:t>d</w:t>
            </w:r>
            <w:r>
              <w:rPr>
                <w:sz w:val="16"/>
                <w:szCs w:val="16"/>
              </w:rPr>
              <w:t>s</w:t>
            </w:r>
            <w:r>
              <w:rPr>
                <w:sz w:val="16"/>
                <w:szCs w:val="16"/>
              </w:rPr>
              <w:fldChar w:fldCharType="begin"/>
            </w:r>
            <w:r>
              <w:rPr>
                <w:sz w:val="16"/>
                <w:szCs w:val="16"/>
              </w:rPr>
              <w:instrText xml:space="preserve">QUOTE </w:instrText>
            </w:r>
            <w:r>
              <w:rPr>
                <w:sz w:val="16"/>
                <w:szCs w:val="16"/>
              </w:rPr>
              <w:instrText>34</w:instrText>
            </w:r>
            <w:r>
              <w:rPr>
                <w:sz w:val="16"/>
                <w:szCs w:val="16"/>
              </w:rPr>
              <w:fldChar w:fldCharType="separate"/>
            </w:r>
            <w:r>
              <w:t>"</w:t>
            </w:r>
            <w:r>
              <w:rPr>
                <w:sz w:val="16"/>
                <w:szCs w:val="16"/>
              </w:rPr>
              <w:fldChar w:fldCharType="end"/>
            </w:r>
            <w:r>
              <w:rPr>
                <w:sz w:val="16"/>
                <w:szCs w:val="16"/>
              </w:rPr>
              <w:t>)</w:t>
            </w:r>
            <w:r>
              <w:rPr>
                <w:sz w:val="16"/>
                <w:szCs w:val="16"/>
              </w:rPr>
              <w:t>,</w:t>
            </w:r>
            <w:r>
              <w:rPr>
                <w:sz w:val="16"/>
                <w:szCs w:val="16"/>
              </w:rPr>
              <w:t xml:space="preserve"> </w:t>
            </w:r>
            <w:r>
              <w:rPr>
                <w:sz w:val="16"/>
                <w:szCs w:val="16"/>
              </w:rPr>
              <w:t>f</w:t>
            </w:r>
            <w:r>
              <w:rPr>
                <w:sz w:val="16"/>
                <w:szCs w:val="16"/>
              </w:rPr>
              <w:t>a</w:t>
            </w:r>
            <w:r>
              <w:rPr>
                <w:sz w:val="16"/>
                <w:szCs w:val="16"/>
              </w:rPr>
              <w:t>z</w:t>
            </w:r>
            <w:r>
              <w:rPr>
                <w:sz w:val="16"/>
                <w:szCs w:val="16"/>
              </w:rPr>
              <w:t>a</w:t>
            </w:r>
            <w:r>
              <w:rPr>
                <w:sz w:val="16"/>
                <w:szCs w:val="16"/>
              </w:rPr>
              <w:t xml:space="preserve"> </w:t>
            </w:r>
            <w:r>
              <w:rPr>
                <w:sz w:val="16"/>
                <w:szCs w:val="16"/>
              </w:rPr>
              <w:t>2</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2014, Q4</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2014, Q4</w:t>
            </w:r>
          </w:p>
        </w:tc>
        <w:tc>
          <w:tcPr>
            <w:tcBorders>
              <w:top w:val="single" w:sz="4" w:space="0" w:color="auto"/>
              <w:left w:val="single" w:sz="4" w:space="0" w:color="auto"/>
              <w:bottom w:val="single" w:sz="4" w:space="0" w:color="auto"/>
              <w:right w:val="single" w:sz="4" w:space="0" w:color="auto"/>
            </w:tcBorders>
            <w:hideMark/>
          </w:tcPr>
          <w:p w:rsidR="008D5009" w:rsidP="00426349">
            <w:pPr>
              <w:pStyle w:val="Text1"/>
              <w:spacing w:before="0" w:after="0"/>
              <w:ind w:left="0"/>
              <w:jc w:val="center"/>
              <w:rPr>
                <w:sz w:val="16"/>
                <w:szCs w:val="16"/>
              </w:rPr>
            </w:pPr>
            <w:r>
              <w:rPr>
                <w:noProof/>
                <w:sz w:val="16"/>
                <w:szCs w:val="16"/>
              </w:rPr>
              <w:t>2016, Q4</w:t>
            </w:r>
          </w:p>
        </w:tc>
        <w:tc>
          <w:tcPr>
            <w:tcBorders>
              <w:top w:val="single" w:sz="4" w:space="0" w:color="auto"/>
              <w:left w:val="single" w:sz="4" w:space="0" w:color="auto"/>
              <w:bottom w:val="single" w:sz="4" w:space="0" w:color="auto"/>
              <w:right w:val="single" w:sz="4" w:space="0" w:color="auto"/>
            </w:tcBorders>
            <w:hideMark/>
          </w:tcPr>
          <w:p w:rsidR="008D5009" w:rsidP="00426349">
            <w:pPr>
              <w:spacing w:before="0" w:after="0"/>
              <w:rPr>
                <w:sz w:val="16"/>
                <w:szCs w:val="16"/>
              </w:rPr>
            </w:pPr>
            <w:r>
              <w:rPr>
                <w:sz w:val="16"/>
                <w:szCs w:val="16"/>
              </w:rPr>
              <w:t xml:space="preserve"> </w:t>
            </w:r>
            <w:r>
              <w:rPr>
                <w:noProof/>
                <w:sz w:val="16"/>
                <w:szCs w:val="16"/>
              </w:rPr>
              <w:t>AP2</w:t>
            </w:r>
            <w:r>
              <w:rPr>
                <w:sz w:val="16"/>
                <w:szCs w:val="16"/>
              </w:rPr>
              <w:t xml:space="preserve"> - </w:t>
            </w:r>
            <w:r>
              <w:rPr>
                <w:noProof/>
                <w:sz w:val="16"/>
                <w:szCs w:val="16"/>
              </w:rPr>
              <w:t>Tehnologia informatiei si comunicatiilor (TIC) pentru o economie digitala competitiva</w:t>
            </w:r>
            <w:r>
              <w:rPr>
                <w:sz w:val="16"/>
                <w:szCs w:val="16"/>
              </w:rPr>
              <w:t xml:space="preserve"> / </w:t>
            </w:r>
            <w:r>
              <w:rPr>
                <w:noProof/>
                <w:sz w:val="16"/>
                <w:szCs w:val="16"/>
              </w:rPr>
              <w:t>2a</w:t>
            </w:r>
            <w:r>
              <w:rPr>
                <w:sz w:val="16"/>
                <w:szCs w:val="16"/>
              </w:rPr>
              <w:t xml:space="preserve"> - </w:t>
            </w:r>
            <w:r>
              <w:rPr>
                <w:noProof/>
                <w:sz w:val="16"/>
                <w:szCs w:val="16"/>
              </w:rPr>
              <w:t>Extending broadband deployment and the roll-out of high-speed networks and supporting the adoption of emerging technologies and networks for the digital economy</w:t>
            </w:r>
            <w:r>
              <w:rPr>
                <w:sz w:val="16"/>
                <w:szCs w:val="16"/>
              </w:rPr>
              <w:t xml:space="preserve"> </w:t>
            </w:r>
          </w:p>
        </w:tc>
      </w:tr>
    </w:tbl>
    <w:p w:rsidR="008D5009" w:rsidP="008D5009">
      <w:pPr>
        <w:spacing w:before="0" w:after="0"/>
      </w:pPr>
    </w:p>
    <w:p w:rsidR="008D5009" w:rsidP="008D5009">
      <w:pPr>
        <w:pStyle w:val="Heading2"/>
        <w:keepLines/>
        <w:numPr>
          <w:ilvl w:val="0"/>
          <w:numId w:val="0"/>
        </w:numPr>
        <w:spacing w:before="0" w:after="0"/>
        <w:ind w:left="850" w:hanging="850"/>
      </w:pPr>
      <w:r w:rsidR="00BF725A">
        <w:br w:type="page"/>
      </w:r>
      <w:bookmarkStart w:id="255" w:name="_Toc256000128"/>
      <w:r>
        <w:rPr>
          <w:noProof/>
        </w:rPr>
        <w:t>12.2 Performance framework of operational programme</w:t>
      </w:r>
      <w:bookmarkEnd w:id="255"/>
    </w:p>
    <w:p w:rsidR="008D5009" w:rsidRPr="00F12361" w:rsidP="008D5009">
      <w:pPr>
        <w:pStyle w:val="Text1"/>
        <w:keepNext/>
        <w:keepLines/>
        <w:spacing w:before="0" w:after="0"/>
        <w:ind w:left="0"/>
      </w:pPr>
    </w:p>
    <w:p w:rsidR="008D5009" w:rsidP="008D5009">
      <w:pPr>
        <w:keepNext/>
        <w:keepLines/>
        <w:spacing w:before="0" w:after="0"/>
        <w:rPr>
          <w:b/>
        </w:rPr>
      </w:pPr>
      <w:r>
        <w:rPr>
          <w:b/>
          <w:noProof/>
        </w:rPr>
        <w:t>Table 28: Performance framework by fund and category of region (summary table)</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
      <w:tblGrid>
        <w:gridCol w:w="4042"/>
        <w:gridCol w:w="601"/>
        <w:gridCol w:w="1082"/>
        <w:gridCol w:w="4210"/>
        <w:gridCol w:w="1981"/>
        <w:gridCol w:w="425"/>
        <w:gridCol w:w="436"/>
        <w:gridCol w:w="776"/>
        <w:gridCol w:w="425"/>
        <w:gridCol w:w="436"/>
        <w:gridCol w:w="986"/>
      </w:tblGrid>
      <w:tr w:rsidTr="00764EE5">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tblPrEx>
        <w:trPr>
          <w:trHeight w:val="368"/>
          <w:tblHeader/>
        </w:trPr>
        <w:tc>
          <w:tcPr>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P="00764EE5">
            <w:pPr>
              <w:spacing w:before="0" w:after="0"/>
              <w:jc w:val="center"/>
              <w:rPr>
                <w:b/>
                <w:sz w:val="16"/>
                <w:szCs w:val="16"/>
              </w:rPr>
            </w:pPr>
            <w:r w:rsidRPr="009247D7">
              <w:rPr>
                <w:b/>
                <w:noProof/>
                <w:sz w:val="16"/>
                <w:szCs w:val="16"/>
              </w:rPr>
              <w:t>Priority axis</w:t>
            </w:r>
          </w:p>
        </w:tc>
        <w:tc>
          <w:tcPr>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P="00764EE5">
            <w:pPr>
              <w:spacing w:before="0" w:after="0"/>
              <w:jc w:val="center"/>
              <w:rPr>
                <w:b/>
                <w:color w:val="FF0000"/>
                <w:sz w:val="16"/>
                <w:szCs w:val="16"/>
              </w:rPr>
            </w:pPr>
            <w:r w:rsidRPr="009247D7">
              <w:rPr>
                <w:b/>
                <w:noProof/>
                <w:sz w:val="16"/>
                <w:szCs w:val="16"/>
              </w:rPr>
              <w:t>Fund</w:t>
            </w:r>
          </w:p>
        </w:tc>
        <w:tc>
          <w:tcPr>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P="00764EE5">
            <w:pPr>
              <w:spacing w:before="0" w:after="0"/>
              <w:jc w:val="center"/>
              <w:rPr>
                <w:b/>
                <w:color w:val="FF0000"/>
                <w:sz w:val="16"/>
                <w:szCs w:val="16"/>
              </w:rPr>
            </w:pPr>
            <w:r w:rsidRPr="009247D7">
              <w:rPr>
                <w:b/>
                <w:noProof/>
                <w:sz w:val="16"/>
                <w:szCs w:val="16"/>
              </w:rPr>
              <w:t>Category of region</w:t>
            </w:r>
          </w:p>
        </w:tc>
        <w:tc>
          <w:tcPr>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P="00764EE5">
            <w:pPr>
              <w:spacing w:before="0" w:after="0"/>
              <w:jc w:val="center"/>
              <w:rPr>
                <w:b/>
                <w:color w:val="FF0000"/>
                <w:sz w:val="16"/>
                <w:szCs w:val="16"/>
              </w:rPr>
            </w:pPr>
            <w:r w:rsidRPr="009247D7">
              <w:rPr>
                <w:b/>
                <w:noProof/>
                <w:sz w:val="16"/>
                <w:szCs w:val="16"/>
              </w:rPr>
              <w:t>Indicator or key implementation step</w:t>
            </w:r>
          </w:p>
        </w:tc>
        <w:tc>
          <w:tcPr>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D5009" w:rsidRPr="009247D7" w:rsidP="00764EE5">
            <w:pPr>
              <w:spacing w:before="0" w:after="0"/>
              <w:jc w:val="center"/>
              <w:rPr>
                <w:b/>
                <w:color w:val="FF0000"/>
                <w:sz w:val="16"/>
                <w:szCs w:val="16"/>
              </w:rPr>
            </w:pPr>
            <w:r w:rsidRPr="009247D7">
              <w:rPr>
                <w:b/>
                <w:noProof/>
                <w:sz w:val="16"/>
                <w:szCs w:val="16"/>
              </w:rPr>
              <w:t>Measurement unit, where appropriate</w:t>
            </w:r>
          </w:p>
        </w:tc>
        <w:tc>
          <w:tcPr>
            <w:gridSpan w:val="3"/>
            <w:tcBorders>
              <w:top w:val="single" w:sz="4" w:space="0" w:color="auto"/>
              <w:left w:val="single" w:sz="4" w:space="0" w:color="auto"/>
              <w:right w:val="single" w:sz="4" w:space="0" w:color="auto"/>
            </w:tcBorders>
            <w:shd w:val="clear" w:color="auto" w:fill="auto"/>
            <w:hideMark/>
          </w:tcPr>
          <w:p w:rsidR="008D5009" w:rsidRPr="009247D7" w:rsidP="00426349">
            <w:pPr>
              <w:spacing w:before="0" w:after="0"/>
              <w:jc w:val="center"/>
              <w:rPr>
                <w:b/>
                <w:color w:val="FF0000"/>
                <w:sz w:val="16"/>
                <w:szCs w:val="16"/>
                <w:lang w:val="pt-PT"/>
              </w:rPr>
            </w:pPr>
            <w:r w:rsidRPr="009247D7">
              <w:rPr>
                <w:b/>
                <w:noProof/>
                <w:sz w:val="16"/>
                <w:szCs w:val="16"/>
                <w:lang w:val="pt-PT"/>
              </w:rPr>
              <w:t>Milestone for 2018</w:t>
            </w:r>
          </w:p>
        </w:tc>
        <w:tc>
          <w:tcPr>
            <w:gridSpan w:val="3"/>
            <w:tcBorders>
              <w:top w:val="single" w:sz="4" w:space="0" w:color="auto"/>
              <w:left w:val="single" w:sz="4" w:space="0" w:color="auto"/>
              <w:bottom w:val="single" w:sz="4" w:space="0" w:color="auto"/>
              <w:right w:val="single" w:sz="4" w:space="0" w:color="auto"/>
            </w:tcBorders>
            <w:shd w:val="clear" w:color="auto" w:fill="auto"/>
            <w:hideMark/>
          </w:tcPr>
          <w:p w:rsidR="008D5009" w:rsidRPr="009247D7" w:rsidP="00426349">
            <w:pPr>
              <w:spacing w:before="0" w:after="0"/>
              <w:jc w:val="center"/>
              <w:rPr>
                <w:b/>
                <w:color w:val="FF0000"/>
                <w:sz w:val="16"/>
                <w:szCs w:val="16"/>
                <w:lang w:val="da-DK"/>
              </w:rPr>
            </w:pPr>
            <w:r w:rsidRPr="009247D7">
              <w:rPr>
                <w:b/>
                <w:noProof/>
                <w:sz w:val="16"/>
                <w:szCs w:val="16"/>
                <w:lang w:val="da-DK"/>
              </w:rPr>
              <w:t>Final target (2023)</w:t>
            </w:r>
          </w:p>
        </w:tc>
      </w:tr>
      <w:tr w:rsidTr="00426349">
        <w:tblPrEx>
          <w:tblW w:w="5000" w:type="pct"/>
          <w:tblLook w:val="0020"/>
        </w:tblPrEx>
        <w:trPr>
          <w:trHeight w:val="367"/>
          <w:tblHeader/>
        </w:trPr>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sz w:val="20"/>
                <w:lang w:val="da-DK"/>
              </w:rPr>
            </w:pPr>
          </w:p>
        </w:tc>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color w:val="FF0000"/>
                <w:sz w:val="20"/>
                <w:lang w:val="da-DK"/>
              </w:rPr>
            </w:pPr>
          </w:p>
        </w:tc>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color w:val="FF0000"/>
                <w:sz w:val="20"/>
                <w:lang w:val="da-DK"/>
              </w:rPr>
            </w:pPr>
          </w:p>
        </w:tc>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color w:val="FF0000"/>
                <w:sz w:val="20"/>
                <w:lang w:val="da-DK"/>
              </w:rPr>
            </w:pPr>
          </w:p>
        </w:tc>
        <w:tc>
          <w:tcPr>
            <w:vMerge/>
            <w:tcBorders>
              <w:top w:val="single" w:sz="4" w:space="0" w:color="auto"/>
              <w:left w:val="single" w:sz="4" w:space="0" w:color="auto"/>
              <w:bottom w:val="single" w:sz="4" w:space="0" w:color="auto"/>
              <w:right w:val="single" w:sz="4" w:space="0" w:color="auto"/>
            </w:tcBorders>
            <w:vAlign w:val="center"/>
            <w:hideMark/>
          </w:tcPr>
          <w:p w:rsidR="008D5009" w:rsidRPr="0051112E" w:rsidP="00426349">
            <w:pPr>
              <w:spacing w:before="0" w:after="0"/>
              <w:rPr>
                <w:b/>
                <w:color w:val="FF0000"/>
                <w:sz w:val="20"/>
                <w:lang w:val="da-DK"/>
              </w:rPr>
            </w:pPr>
          </w:p>
        </w:tc>
        <w:tc>
          <w:tcPr>
            <w:tcBorders>
              <w:left w:val="single" w:sz="4" w:space="0" w:color="auto"/>
              <w:bottom w:val="single" w:sz="4" w:space="0" w:color="auto"/>
              <w:right w:val="single" w:sz="4" w:space="0" w:color="auto"/>
            </w:tcBorders>
            <w:shd w:val="clear" w:color="auto" w:fill="auto"/>
            <w:hideMark/>
          </w:tcPr>
          <w:p w:rsidR="008D5009" w:rsidRPr="0051112E" w:rsidP="00426349">
            <w:pPr>
              <w:spacing w:before="0" w:after="0"/>
              <w:jc w:val="center"/>
              <w:rPr>
                <w:b/>
                <w:sz w:val="20"/>
              </w:rPr>
            </w:pPr>
            <w:r w:rsidRPr="0051112E">
              <w:rPr>
                <w:b/>
                <w:noProof/>
                <w:sz w:val="20"/>
              </w:rPr>
              <w:t>M</w:t>
            </w:r>
          </w:p>
        </w:tc>
        <w:tc>
          <w:tcPr>
            <w:tcBorders>
              <w:left w:val="single" w:sz="4" w:space="0" w:color="auto"/>
              <w:bottom w:val="single" w:sz="4" w:space="0" w:color="auto"/>
              <w:right w:val="single" w:sz="4" w:space="0" w:color="auto"/>
            </w:tcBorders>
            <w:shd w:val="clear" w:color="auto" w:fill="auto"/>
          </w:tcPr>
          <w:p w:rsidR="008D5009" w:rsidRPr="0051112E" w:rsidP="00426349">
            <w:pPr>
              <w:spacing w:before="0" w:after="0"/>
              <w:jc w:val="center"/>
              <w:rPr>
                <w:b/>
                <w:sz w:val="20"/>
              </w:rPr>
            </w:pPr>
            <w:r w:rsidRPr="0051112E">
              <w:rPr>
                <w:b/>
                <w:noProof/>
                <w:sz w:val="20"/>
              </w:rPr>
              <w:t>W</w:t>
            </w:r>
          </w:p>
        </w:tc>
        <w:tc>
          <w:tcPr>
            <w:tcBorders>
              <w:left w:val="single" w:sz="4" w:space="0" w:color="auto"/>
              <w:bottom w:val="single" w:sz="4" w:space="0" w:color="auto"/>
              <w:right w:val="single" w:sz="4" w:space="0" w:color="auto"/>
            </w:tcBorders>
            <w:shd w:val="clear" w:color="auto" w:fill="auto"/>
          </w:tcPr>
          <w:p w:rsidR="008D5009" w:rsidRPr="003D67CD" w:rsidP="00426349">
            <w:pPr>
              <w:spacing w:before="0" w:after="0"/>
              <w:jc w:val="center"/>
              <w:rPr>
                <w:b/>
                <w:sz w:val="20"/>
              </w:rPr>
            </w:pPr>
            <w:r w:rsidRPr="0051112E">
              <w:rPr>
                <w:b/>
                <w:noProof/>
                <w:sz w:val="20"/>
              </w:rPr>
              <w:t>T</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51112E" w:rsidP="00426349">
            <w:pPr>
              <w:spacing w:before="0" w:after="0"/>
              <w:jc w:val="center"/>
              <w:rPr>
                <w:b/>
                <w:sz w:val="20"/>
              </w:rPr>
            </w:pPr>
            <w:r w:rsidRPr="0051112E">
              <w:rPr>
                <w:b/>
                <w:noProof/>
                <w:sz w:val="20"/>
              </w:rPr>
              <w:t>M</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51112E" w:rsidP="00426349">
            <w:pPr>
              <w:spacing w:before="0" w:after="0"/>
              <w:jc w:val="center"/>
              <w:rPr>
                <w:b/>
                <w:sz w:val="20"/>
              </w:rPr>
            </w:pPr>
            <w:r w:rsidRPr="0051112E">
              <w:rPr>
                <w:b/>
                <w:noProof/>
                <w:sz w:val="20"/>
              </w:rPr>
              <w:t>W</w:t>
            </w:r>
          </w:p>
        </w:tc>
        <w:tc>
          <w:tcPr>
            <w:tcBorders>
              <w:top w:val="single" w:sz="4" w:space="0" w:color="auto"/>
              <w:left w:val="single" w:sz="4" w:space="0" w:color="auto"/>
              <w:bottom w:val="single" w:sz="4" w:space="0" w:color="auto"/>
              <w:right w:val="single" w:sz="4" w:space="0" w:color="auto"/>
            </w:tcBorders>
            <w:shd w:val="clear" w:color="auto" w:fill="auto"/>
            <w:hideMark/>
          </w:tcPr>
          <w:p w:rsidR="008D5009" w:rsidRPr="003D67CD" w:rsidP="00426349">
            <w:pPr>
              <w:spacing w:before="0" w:after="0"/>
              <w:jc w:val="center"/>
              <w:rPr>
                <w:b/>
                <w:sz w:val="20"/>
              </w:rPr>
            </w:pPr>
            <w:r w:rsidRPr="0051112E">
              <w:rPr>
                <w:b/>
                <w:noProof/>
                <w:sz w:val="20"/>
              </w:rPr>
              <w:t>T</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AP1</w:t>
            </w:r>
            <w:r w:rsidRPr="00004D7E">
              <w:rPr>
                <w:noProof/>
                <w:color w:val="000000"/>
                <w:sz w:val="12"/>
                <w:szCs w:val="12"/>
              </w:rPr>
              <w:t xml:space="preserve"> - </w:t>
            </w:r>
            <w:r w:rsidR="001D6ABA">
              <w:rPr>
                <w:noProof/>
                <w:color w:val="000000"/>
                <w:sz w:val="12"/>
                <w:szCs w:val="12"/>
                <w:lang w:val="pt-PT"/>
              </w:rPr>
              <w:t>Cercetare, dezvoltare tehnologica si inovare (CDI) in sprijinul competitivitatii economice si dezvoltarii afacerilor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ERDF</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Less developed</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Suma totală a cheltuielii eligibile din sistemul contabil al autorităţii de certificare, certificată de această autoritate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87,702,161</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698,846,719.00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AP2</w:t>
            </w:r>
            <w:r w:rsidRPr="00004D7E">
              <w:rPr>
                <w:noProof/>
                <w:color w:val="000000"/>
                <w:sz w:val="12"/>
                <w:szCs w:val="12"/>
              </w:rPr>
              <w:t xml:space="preserve"> - </w:t>
            </w:r>
            <w:r w:rsidR="001D6ABA">
              <w:rPr>
                <w:noProof/>
                <w:color w:val="000000"/>
                <w:sz w:val="12"/>
                <w:szCs w:val="12"/>
                <w:lang w:val="pt-PT"/>
              </w:rPr>
              <w:t>Tehnologia informatiei si comunicatiilor (TIC) pentru o economie digitala competitiva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ERDF</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Less developed</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Suma totală a cheltuielii eligibile din sistemul contabil al autorităţii de certificare, certificată de această autoritate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67,964,555</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521,093,863.00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AP3</w:t>
            </w:r>
            <w:r w:rsidRPr="00004D7E">
              <w:rPr>
                <w:noProof/>
                <w:color w:val="000000"/>
                <w:sz w:val="12"/>
                <w:szCs w:val="12"/>
              </w:rPr>
              <w:t xml:space="preserve"> - </w:t>
            </w:r>
            <w:r w:rsidR="001D6ABA">
              <w:rPr>
                <w:noProof/>
                <w:color w:val="000000"/>
                <w:sz w:val="12"/>
                <w:szCs w:val="12"/>
                <w:lang w:val="pt-PT"/>
              </w:rPr>
              <w:t>Sprijinirea IMM-urilor ca reacție la pandemia COVID -19</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ERDF</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Less developed</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Suma totală a cheltuielii eligibile din sistemul contabil al autorităţii de certificare, certificată de această autoritate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510,957,698.00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AP1</w:t>
            </w:r>
            <w:r w:rsidRPr="00004D7E">
              <w:rPr>
                <w:noProof/>
                <w:color w:val="000000"/>
                <w:sz w:val="12"/>
                <w:szCs w:val="12"/>
              </w:rPr>
              <w:t xml:space="preserve"> - </w:t>
            </w:r>
            <w:r w:rsidR="001D6ABA">
              <w:rPr>
                <w:noProof/>
                <w:color w:val="000000"/>
                <w:sz w:val="12"/>
                <w:szCs w:val="12"/>
                <w:lang w:val="pt-PT"/>
              </w:rPr>
              <w:t>Cercetare, dezvoltare tehnologica si inovare (CDI) in sprijinul competitivitatii economice si dezvoltarii afacerilor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ERDF</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More developed</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Suma totală a cheltuielii eligibile din sistemul contabil al autorităţii de certificare, certificată de această autoritate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28,946,858</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233,002,545.00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AP2</w:t>
            </w:r>
            <w:r w:rsidRPr="00004D7E">
              <w:rPr>
                <w:noProof/>
                <w:color w:val="000000"/>
                <w:sz w:val="12"/>
                <w:szCs w:val="12"/>
              </w:rPr>
              <w:t xml:space="preserve"> - </w:t>
            </w:r>
            <w:r w:rsidR="001D6ABA">
              <w:rPr>
                <w:noProof/>
                <w:color w:val="000000"/>
                <w:sz w:val="12"/>
                <w:szCs w:val="12"/>
                <w:lang w:val="pt-PT"/>
              </w:rPr>
              <w:t>Tehnologia informatiei si comunicatiilor (TIC) pentru o economie digitala competitiva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ERDF</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More developed</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Suma totală a cheltuielii eligibile din sistemul contabil al autorităţii de certificare, certificată de această autoritate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9,201,002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70,545,380.00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AP3</w:t>
            </w:r>
            <w:r w:rsidRPr="00004D7E">
              <w:rPr>
                <w:noProof/>
                <w:color w:val="000000"/>
                <w:sz w:val="12"/>
                <w:szCs w:val="12"/>
              </w:rPr>
              <w:t xml:space="preserve"> - </w:t>
            </w:r>
            <w:r w:rsidR="001D6ABA">
              <w:rPr>
                <w:noProof/>
                <w:color w:val="000000"/>
                <w:sz w:val="12"/>
                <w:szCs w:val="12"/>
                <w:lang w:val="pt-PT"/>
              </w:rPr>
              <w:t>Sprijinirea IMM-urilor ca reacție la pandemia COVID -19</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ERDF</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More developed</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Suma totală a cheltuielii eligibile din sistemul contabil al autorităţii de certificare, certificată de această autoritate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euro</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144,607,447.00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AP2</w:t>
            </w:r>
            <w:r w:rsidRPr="00004D7E">
              <w:rPr>
                <w:noProof/>
                <w:color w:val="000000"/>
                <w:sz w:val="12"/>
                <w:szCs w:val="12"/>
              </w:rPr>
              <w:t xml:space="preserve"> - </w:t>
            </w:r>
            <w:r w:rsidR="001D6ABA">
              <w:rPr>
                <w:noProof/>
                <w:color w:val="000000"/>
                <w:sz w:val="12"/>
                <w:szCs w:val="12"/>
                <w:lang w:val="pt-PT"/>
              </w:rPr>
              <w:t>Tehnologia informatiei si comunicatiilor (TIC) pentru o economie digitala competitiva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ERDF</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Less developed</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3S21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Contracte de achiziții încheiate pentru proiectele care vizează 36 de evenimente de viata (Nivel de sofisticare IV)</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 contracte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AP2</w:t>
            </w:r>
            <w:r w:rsidRPr="00004D7E">
              <w:rPr>
                <w:noProof/>
                <w:color w:val="000000"/>
                <w:sz w:val="12"/>
                <w:szCs w:val="12"/>
              </w:rPr>
              <w:t xml:space="preserve"> - </w:t>
            </w:r>
            <w:r w:rsidR="001D6ABA">
              <w:rPr>
                <w:noProof/>
                <w:color w:val="000000"/>
                <w:sz w:val="12"/>
                <w:szCs w:val="12"/>
                <w:lang w:val="pt-PT"/>
              </w:rPr>
              <w:t>Tehnologia informatiei si comunicatiilor (TIC) pentru o economie digitala competitiva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ERDF</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More developed</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3S21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Contracte de achiziții încheiate pentru proiectele care vizează 36 de evenimente de viata (Nivel de sofisticare IV)</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 contracte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AP2</w:t>
            </w:r>
            <w:r w:rsidRPr="00004D7E">
              <w:rPr>
                <w:noProof/>
                <w:color w:val="000000"/>
                <w:sz w:val="12"/>
                <w:szCs w:val="12"/>
              </w:rPr>
              <w:t xml:space="preserve"> - </w:t>
            </w:r>
            <w:r w:rsidR="001D6ABA">
              <w:rPr>
                <w:noProof/>
                <w:color w:val="000000"/>
                <w:sz w:val="12"/>
                <w:szCs w:val="12"/>
                <w:lang w:val="pt-PT"/>
              </w:rPr>
              <w:t>Tehnologia informatiei si comunicatiilor (TIC) pentru o economie digitala competitiva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ERDF</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Less developed</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3S22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Contracte de achiziții încheiate pentru proiecte care vizează implementarea Web 2.0 OER in educație în 2000 de școli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 contracte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AP2</w:t>
            </w:r>
            <w:r w:rsidRPr="00004D7E">
              <w:rPr>
                <w:noProof/>
                <w:color w:val="000000"/>
                <w:sz w:val="12"/>
                <w:szCs w:val="12"/>
              </w:rPr>
              <w:t xml:space="preserve"> - </w:t>
            </w:r>
            <w:r w:rsidR="001D6ABA">
              <w:rPr>
                <w:noProof/>
                <w:color w:val="000000"/>
                <w:sz w:val="12"/>
                <w:szCs w:val="12"/>
                <w:lang w:val="pt-PT"/>
              </w:rPr>
              <w:t>Tehnologia informatiei si comunicatiilor (TIC) pentru o economie digitala competitiva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ERDF</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More developed</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3S22</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Contracte de achiziții încheiate pentru proiecte care vizează implementarea Web 2.0 OER in educație în 2000 de școli</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 contracte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100%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AP2</w:t>
            </w:r>
            <w:r w:rsidRPr="00004D7E">
              <w:rPr>
                <w:noProof/>
                <w:color w:val="000000"/>
                <w:sz w:val="12"/>
                <w:szCs w:val="12"/>
              </w:rPr>
              <w:t xml:space="preserve"> - </w:t>
            </w:r>
            <w:r w:rsidR="001D6ABA">
              <w:rPr>
                <w:noProof/>
                <w:color w:val="000000"/>
                <w:sz w:val="12"/>
                <w:szCs w:val="12"/>
                <w:lang w:val="pt-PT"/>
              </w:rPr>
              <w:t>Tehnologia informatiei si comunicatiilor (TIC) pentru o economie digitala competitiva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ERDF</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Less developed</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3S15</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Servicii publice aferente evenimentelor de viață aduse la nivelul IV de sofisticare online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Servicii publice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28.00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AP2</w:t>
            </w:r>
            <w:r w:rsidRPr="00004D7E">
              <w:rPr>
                <w:noProof/>
                <w:color w:val="000000"/>
                <w:sz w:val="12"/>
                <w:szCs w:val="12"/>
              </w:rPr>
              <w:t xml:space="preserve"> - </w:t>
            </w:r>
            <w:r w:rsidR="001D6ABA">
              <w:rPr>
                <w:noProof/>
                <w:color w:val="000000"/>
                <w:sz w:val="12"/>
                <w:szCs w:val="12"/>
                <w:lang w:val="pt-PT"/>
              </w:rPr>
              <w:t>Tehnologia informatiei si comunicatiilor (TIC) pentru o economie digitala competitiva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ERDF</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More developed</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3S15</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Servicii publice aferente evenimentelor de viață aduse la nivelul IV de sofisticare online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Servicii publice</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AP2</w:t>
            </w:r>
            <w:r w:rsidRPr="00004D7E">
              <w:rPr>
                <w:noProof/>
                <w:color w:val="000000"/>
                <w:sz w:val="12"/>
                <w:szCs w:val="12"/>
              </w:rPr>
              <w:t xml:space="preserve"> - </w:t>
            </w:r>
            <w:r w:rsidR="001D6ABA">
              <w:rPr>
                <w:noProof/>
                <w:color w:val="000000"/>
                <w:sz w:val="12"/>
                <w:szCs w:val="12"/>
                <w:lang w:val="pt-PT"/>
              </w:rPr>
              <w:t>Tehnologia informatiei si comunicatiilor (TIC) pentru o economie digitala competitiva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ERDF</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Less developed</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3S17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Școli care utilizează OER, WEB 2.0 în educație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Scoli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1,736.00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AP2</w:t>
            </w:r>
            <w:r w:rsidRPr="00004D7E">
              <w:rPr>
                <w:noProof/>
                <w:color w:val="000000"/>
                <w:sz w:val="12"/>
                <w:szCs w:val="12"/>
              </w:rPr>
              <w:t xml:space="preserve"> - </w:t>
            </w:r>
            <w:r w:rsidR="001D6ABA">
              <w:rPr>
                <w:noProof/>
                <w:color w:val="000000"/>
                <w:sz w:val="12"/>
                <w:szCs w:val="12"/>
                <w:lang w:val="pt-PT"/>
              </w:rPr>
              <w:t>Tehnologia informatiei si comunicatiilor (TIC) pentru o economie digitala competitiva</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ERDF</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More developed</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3S17</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Școli care utilizează OER, WEB 2.0 în educație</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Scoli</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264.00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AP1</w:t>
            </w:r>
            <w:r w:rsidRPr="00004D7E">
              <w:rPr>
                <w:noProof/>
                <w:color w:val="000000"/>
                <w:sz w:val="12"/>
                <w:szCs w:val="12"/>
              </w:rPr>
              <w:t xml:space="preserve"> - </w:t>
            </w:r>
            <w:r w:rsidR="001D6ABA">
              <w:rPr>
                <w:noProof/>
                <w:color w:val="000000"/>
                <w:sz w:val="12"/>
                <w:szCs w:val="12"/>
                <w:lang w:val="pt-PT"/>
              </w:rPr>
              <w:t>Cercetare, dezvoltare tehnologica si inovare (CDI) in sprijinul competitivitatii economice si dezvoltarii afacerilor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ERDF</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Less developed</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Productive investment: Number of enterprises receiving support</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Enterprises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38</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290.00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AP3</w:t>
            </w:r>
            <w:r w:rsidRPr="00004D7E">
              <w:rPr>
                <w:noProof/>
                <w:color w:val="000000"/>
                <w:sz w:val="12"/>
                <w:szCs w:val="12"/>
              </w:rPr>
              <w:t xml:space="preserve"> - </w:t>
            </w:r>
            <w:r w:rsidR="001D6ABA">
              <w:rPr>
                <w:noProof/>
                <w:color w:val="000000"/>
                <w:sz w:val="12"/>
                <w:szCs w:val="12"/>
                <w:lang w:val="pt-PT"/>
              </w:rPr>
              <w:t>Sprijinirea IMM-urilor ca reacție la pandemia COVID -19</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ERDF</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Less developed</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Productive investment: Number of enterprises receiving support</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Enterprises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43,740.00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AP1</w:t>
            </w:r>
            <w:r w:rsidRPr="00004D7E">
              <w:rPr>
                <w:noProof/>
                <w:color w:val="000000"/>
                <w:sz w:val="12"/>
                <w:szCs w:val="12"/>
              </w:rPr>
              <w:t xml:space="preserve"> - </w:t>
            </w:r>
            <w:r w:rsidR="001D6ABA">
              <w:rPr>
                <w:noProof/>
                <w:color w:val="000000"/>
                <w:sz w:val="12"/>
                <w:szCs w:val="12"/>
                <w:lang w:val="pt-PT"/>
              </w:rPr>
              <w:t>Cercetare, dezvoltare tehnologica si inovare (CDI) in sprijinul competitivitatii economice si dezvoltarii afacerilor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ERDF</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More developed</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Productive investment: Number of enterprises receiving support</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Enterprises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12</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83.00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AP3</w:t>
            </w:r>
            <w:r w:rsidRPr="00004D7E">
              <w:rPr>
                <w:noProof/>
                <w:color w:val="000000"/>
                <w:sz w:val="12"/>
                <w:szCs w:val="12"/>
              </w:rPr>
              <w:t xml:space="preserve"> - </w:t>
            </w:r>
            <w:r w:rsidR="001D6ABA">
              <w:rPr>
                <w:noProof/>
                <w:color w:val="000000"/>
                <w:sz w:val="12"/>
                <w:szCs w:val="12"/>
                <w:lang w:val="pt-PT"/>
              </w:rPr>
              <w:t>Sprijinirea IMM-urilor ca reacție la pandemia COVID -19</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ERDF</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More developed</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CO01</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Productive investment: Number of enterprises receiving support</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Enterprises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0</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14,274.00</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AP1</w:t>
            </w:r>
            <w:r w:rsidRPr="00004D7E">
              <w:rPr>
                <w:noProof/>
                <w:color w:val="000000"/>
                <w:sz w:val="12"/>
                <w:szCs w:val="12"/>
              </w:rPr>
              <w:t xml:space="preserve"> - </w:t>
            </w:r>
            <w:r w:rsidR="001D6ABA">
              <w:rPr>
                <w:noProof/>
                <w:color w:val="000000"/>
                <w:sz w:val="12"/>
                <w:szCs w:val="12"/>
                <w:lang w:val="pt-PT"/>
              </w:rPr>
              <w:t>Cercetare, dezvoltare tehnologica si inovare (CDI) in sprijinul competitivitatii economice si dezvoltarii afacerilor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ERDF</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Less developed</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CO24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Research, innovation: Number of new researchers in supported entities</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Full time equivalents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31</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292.98</w:t>
            </w:r>
          </w:p>
        </w:tc>
      </w:tr>
      <w:tr w:rsidTr="00426349">
        <w:tblPrEx>
          <w:tblW w:w="5000" w:type="pct"/>
          <w:tblLook w:val="0020"/>
        </w:tblPrEx>
        <w:trPr>
          <w:trHeight w:val="291"/>
        </w:trPr>
        <w:tc>
          <w:tcPr>
            <w:tcBorders>
              <w:top w:val="single" w:sz="4" w:space="0" w:color="auto"/>
              <w:left w:val="single" w:sz="4" w:space="0" w:color="auto"/>
              <w:bottom w:val="single" w:sz="4" w:space="0" w:color="auto"/>
              <w:right w:val="single" w:sz="4" w:space="0" w:color="auto"/>
            </w:tcBorders>
            <w:hideMark/>
          </w:tcPr>
          <w:p w:rsidR="008D5009" w:rsidRPr="00004D7E" w:rsidP="007F706D">
            <w:pPr>
              <w:suppressAutoHyphens/>
              <w:spacing w:before="0" w:after="0"/>
              <w:jc w:val="left"/>
              <w:rPr>
                <w:sz w:val="12"/>
                <w:szCs w:val="12"/>
              </w:rPr>
            </w:pPr>
            <w:r w:rsidR="001D6ABA">
              <w:rPr>
                <w:noProof/>
                <w:color w:val="000000"/>
                <w:sz w:val="12"/>
                <w:szCs w:val="12"/>
                <w:lang w:val="pt-PT"/>
              </w:rPr>
              <w:t>AP1</w:t>
            </w:r>
            <w:r w:rsidRPr="00004D7E">
              <w:rPr>
                <w:noProof/>
                <w:color w:val="000000"/>
                <w:sz w:val="12"/>
                <w:szCs w:val="12"/>
              </w:rPr>
              <w:t xml:space="preserve"> - </w:t>
            </w:r>
            <w:r w:rsidR="001D6ABA">
              <w:rPr>
                <w:noProof/>
                <w:color w:val="000000"/>
                <w:sz w:val="12"/>
                <w:szCs w:val="12"/>
                <w:lang w:val="pt-PT"/>
              </w:rPr>
              <w:t>Cercetare, dezvoltare tehnologica si inovare (CDI) in sprijinul competitivitatii economice si dezvoltarii afacerilor</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rPr>
                <w:noProof/>
                <w:color w:val="000000"/>
                <w:sz w:val="12"/>
                <w:szCs w:val="12"/>
                <w:lang w:val="pt-PT"/>
              </w:rPr>
            </w:pPr>
            <w:r w:rsidR="001D6ABA">
              <w:rPr>
                <w:noProof/>
                <w:color w:val="000000"/>
                <w:sz w:val="12"/>
                <w:szCs w:val="12"/>
                <w:lang w:val="pt-PT"/>
              </w:rPr>
              <w:t>ERDF</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rPr>
                <w:sz w:val="12"/>
                <w:szCs w:val="12"/>
                <w:lang w:val="da-DK"/>
              </w:rPr>
            </w:pPr>
            <w:r w:rsidR="001D6ABA">
              <w:rPr>
                <w:noProof/>
                <w:sz w:val="12"/>
                <w:szCs w:val="12"/>
                <w:lang w:val="da-DK"/>
              </w:rPr>
              <w:t>More developed</w:t>
            </w:r>
          </w:p>
        </w:tc>
        <w:tc>
          <w:tcPr>
            <w:tcBorders>
              <w:top w:val="single" w:sz="4" w:space="0" w:color="auto"/>
              <w:left w:val="single" w:sz="4" w:space="0" w:color="auto"/>
              <w:bottom w:val="single" w:sz="4" w:space="0" w:color="auto"/>
              <w:right w:val="single" w:sz="4" w:space="0" w:color="auto"/>
            </w:tcBorders>
            <w:hideMark/>
          </w:tcPr>
          <w:p w:rsidR="008D5009" w:rsidRPr="00366AAB" w:rsidP="00931714">
            <w:pPr>
              <w:suppressAutoHyphens/>
              <w:spacing w:before="0" w:after="0"/>
              <w:rPr>
                <w:noProof/>
                <w:color w:val="000000"/>
                <w:sz w:val="12"/>
                <w:szCs w:val="12"/>
                <w:lang w:val="pt-PT"/>
              </w:rPr>
            </w:pPr>
            <w:r w:rsidR="001D6ABA">
              <w:rPr>
                <w:noProof/>
                <w:color w:val="000000"/>
                <w:sz w:val="12"/>
                <w:szCs w:val="12"/>
              </w:rPr>
              <w:t>CO24</w:t>
            </w:r>
            <w:r w:rsidR="005739E0">
              <w:rPr>
                <w:color w:val="000000"/>
                <w:sz w:val="12"/>
                <w:szCs w:val="12"/>
              </w:rPr>
              <w:t xml:space="preserve"> - </w:t>
            </w:r>
            <w:r w:rsidR="00931714">
              <w:rPr>
                <w:color w:val="000000"/>
                <w:sz w:val="12"/>
                <w:szCs w:val="12"/>
              </w:rPr>
              <w:t xml:space="preserve"> </w:t>
            </w:r>
            <w:r w:rsidR="00931714">
              <w:rPr>
                <w:noProof/>
                <w:color w:val="000000"/>
                <w:sz w:val="12"/>
                <w:szCs w:val="12"/>
              </w:rPr>
              <w:t>Research, innovation: Number of new researchers in supported entities</w:t>
            </w:r>
          </w:p>
        </w:tc>
        <w:tc>
          <w:tcPr>
            <w:tcBorders>
              <w:top w:val="single" w:sz="4" w:space="0" w:color="auto"/>
              <w:left w:val="single" w:sz="4" w:space="0" w:color="auto"/>
              <w:bottom w:val="single" w:sz="4" w:space="0" w:color="auto"/>
              <w:right w:val="single" w:sz="4" w:space="0" w:color="auto"/>
            </w:tcBorders>
            <w:hideMark/>
          </w:tcPr>
          <w:p w:rsidR="008D5009" w:rsidRPr="00366AAB" w:rsidP="000469FB">
            <w:pPr>
              <w:suppressAutoHyphens/>
              <w:spacing w:before="0" w:after="0"/>
              <w:rPr>
                <w:noProof/>
                <w:color w:val="000000"/>
                <w:sz w:val="12"/>
                <w:szCs w:val="12"/>
              </w:rPr>
            </w:pPr>
            <w:r w:rsidR="00AB7346">
              <w:rPr>
                <w:noProof/>
                <w:color w:val="000000"/>
                <w:sz w:val="12"/>
                <w:szCs w:val="12"/>
              </w:rPr>
              <w:t>Full time equivalents</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p>
        </w:tc>
        <w:tc>
          <w:tcPr>
            <w:tcBorders>
              <w:top w:val="single" w:sz="4" w:space="0" w:color="auto"/>
              <w:left w:val="single" w:sz="4" w:space="0" w:color="auto"/>
              <w:bottom w:val="single" w:sz="4" w:space="0" w:color="auto"/>
              <w:right w:val="single" w:sz="4" w:space="0" w:color="auto"/>
            </w:tcBorders>
          </w:tcPr>
          <w:p w:rsidR="008D5009" w:rsidRPr="00CF7F91" w:rsidP="00426349">
            <w:pPr>
              <w:spacing w:before="0" w:after="0"/>
              <w:jc w:val="right"/>
              <w:rPr>
                <w:sz w:val="12"/>
                <w:szCs w:val="12"/>
                <w:lang w:val="da-DK"/>
              </w:rPr>
            </w:pPr>
            <w:r w:rsidR="00EE4AFC">
              <w:rPr>
                <w:noProof/>
                <w:sz w:val="12"/>
                <w:szCs w:val="12"/>
                <w:lang w:val="da-DK"/>
              </w:rPr>
              <w:t>24</w:t>
            </w: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426349">
            <w:pPr>
              <w:suppressAutoHyphens/>
              <w:spacing w:before="0" w:after="0"/>
              <w:jc w:val="right"/>
              <w:rPr>
                <w:color w:val="000000"/>
                <w:sz w:val="12"/>
                <w:szCs w:val="12"/>
              </w:rPr>
            </w:pPr>
          </w:p>
        </w:tc>
        <w:tc>
          <w:tcPr>
            <w:tcBorders>
              <w:top w:val="single" w:sz="4" w:space="0" w:color="auto"/>
              <w:left w:val="single" w:sz="4" w:space="0" w:color="auto"/>
              <w:bottom w:val="single" w:sz="4" w:space="0" w:color="auto"/>
              <w:right w:val="single" w:sz="4" w:space="0" w:color="auto"/>
            </w:tcBorders>
            <w:hideMark/>
          </w:tcPr>
          <w:p w:rsidR="008D5009" w:rsidRPr="00CF7F91" w:rsidP="00EE4AFC">
            <w:pPr>
              <w:suppressAutoHyphens/>
              <w:spacing w:before="0" w:after="0"/>
              <w:jc w:val="right"/>
              <w:rPr>
                <w:color w:val="000000"/>
                <w:sz w:val="12"/>
                <w:szCs w:val="12"/>
              </w:rPr>
            </w:pPr>
            <w:r w:rsidR="00EE4AFC">
              <w:rPr>
                <w:noProof/>
                <w:color w:val="000000"/>
                <w:sz w:val="12"/>
                <w:szCs w:val="12"/>
              </w:rPr>
              <w:t>195.50</w:t>
            </w:r>
          </w:p>
        </w:tc>
      </w:tr>
    </w:tbl>
    <w:p w:rsidR="008D5009" w:rsidP="008D5009">
      <w:pPr>
        <w:spacing w:before="0" w:after="0"/>
        <w:rPr>
          <w:b/>
        </w:rPr>
      </w:pPr>
    </w:p>
    <w:p w:rsidR="008D5009" w:rsidP="00941EB6">
      <w:pPr>
        <w:pStyle w:val="Heading2"/>
        <w:numPr>
          <w:ilvl w:val="0"/>
          <w:numId w:val="0"/>
        </w:numPr>
        <w:spacing w:before="0" w:after="0"/>
        <w:ind w:left="850" w:hanging="850"/>
        <w:jc w:val="left"/>
      </w:pPr>
      <w:bookmarkStart w:id="256" w:name="_Toc256000129"/>
      <w:r>
        <w:rPr>
          <w:noProof/>
        </w:rPr>
        <w:t>12.3 Relevant partners involved in preparation of programme</w:t>
      </w:r>
      <w:bookmarkEnd w:id="256"/>
    </w:p>
    <w:p>
      <w:pPr>
        <w:spacing w:before="0" w:after="240"/>
        <w:jc w:val="left"/>
        <w:rPr>
          <w:rFonts w:ascii="Times New Roman" w:eastAsia="Times New Roman" w:hAnsi="Times New Roman" w:cs="Times New Roman"/>
        </w:rPr>
      </w:pPr>
      <w:r>
        <w:rPr>
          <w:rFonts w:ascii="Times New Roman" w:eastAsia="Times New Roman" w:hAnsi="Times New Roman" w:cs="Times New Roman"/>
        </w:rPr>
        <w:t>În pregătirea Programului Operaţional Competitivitate 2014 – 2020, Axa Prioritară 1 – CDI, au fost implicaţi următorii parteneri relevanţi: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74"/>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Ministerul Economiei Naţionale – pentru a asigura corelarea cu prevederile Strategiei Naţionale de Competitivitate</w:t>
      </w:r>
    </w:p>
    <w:p>
      <w:pPr>
        <w:numPr>
          <w:ilvl w:val="0"/>
          <w:numId w:val="74"/>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Ministerul Sănătăţii - pentru a asigura corelarea cu prevederile Strategiei Naționale de Sănătate 2014-2020, având în vedere că POC va sprijini prin Axa 1 cercetarea şi inovarea în domeniul sănătății</w:t>
      </w:r>
    </w:p>
    <w:p>
      <w:pPr>
        <w:numPr>
          <w:ilvl w:val="0"/>
          <w:numId w:val="74"/>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Autorităţi publice locale/judeţene – pentru planificarea proiectelor majore Extreme Light Infrastructure - Nuclear Physics (ELI-NP) şi Centrul Internațional de Studii Avansate privind Sistemele Fluviu-Deltă-Mare (DANUBIUS – RI)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În ceea ce priveşte Axa Prioritară 2 – TIC, partenerii implicaţi în pregătirea programului au fost:</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 </w:t>
      </w:r>
    </w:p>
    <w:p>
      <w:pPr>
        <w:numPr>
          <w:ilvl w:val="0"/>
          <w:numId w:val="75"/>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Ministerul Afacerilor Interne, Ministerul Afacerilor Externe, Ministerul Dezvoltării Regionale şi Administraţiei Publice, Ministerul Finanţelor Publice, Ministerul Justiţiei şi alte ministere de linie și agenții/autorități centrale care oferă/coordonează servicii publice – pentru intervenţia din cadrul programului dedicată serviciilor de e-guvernare</w:t>
      </w:r>
    </w:p>
    <w:p>
      <w:pPr>
        <w:numPr>
          <w:ilvl w:val="0"/>
          <w:numId w:val="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Ministerul Apărării Naționale, Ministerul Afacerilor Interne, Serviciul Român de Informaţii şi Serviciul de Telecomunicaţii Speciale - pentru acţiunea dedicată securităţii cibernetice a sistemelor TIC</w:t>
      </w:r>
    </w:p>
    <w:p>
      <w:pPr>
        <w:numPr>
          <w:ilvl w:val="0"/>
          <w:numId w:val="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Ministerul Educaţiei – pentru domeniul e-educație</w:t>
      </w:r>
    </w:p>
    <w:p>
      <w:pPr>
        <w:numPr>
          <w:ilvl w:val="0"/>
          <w:numId w:val="75"/>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Ministerul Muncii, Familiei și Protecției Sociale – pentru domeniul e-incluziune • Ministerul Sănătăţii – pentru domeniul e-sănătate</w:t>
      </w:r>
    </w:p>
    <w:p>
      <w:pPr>
        <w:numPr>
          <w:ilvl w:val="0"/>
          <w:numId w:val="75"/>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Ministerul Culturii – pentru domeniul e-cultură</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Categorii de parteneri relevanti consultaţi pe domeniul CDI:</w:t>
      </w:r>
    </w:p>
    <w:p>
      <w:pPr>
        <w:numPr>
          <w:ilvl w:val="0"/>
          <w:numId w:val="76"/>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Academii (Academia Oamenilor de Știință, Academia Română,</w:t>
      </w:r>
    </w:p>
    <w:p>
      <w:pPr>
        <w:numPr>
          <w:ilvl w:val="0"/>
          <w:numId w:val="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Universităţi (Universitatea "Babeș-Bolyai", Cluj-Napoca, Universităţi de Medicina si farmacie din diverse oraşe Tirgu Mures, Iaşi, Cluj-Napoca, Timişoara, București, Universităţi de profil real din diverse oraşe din România etc.)</w:t>
      </w:r>
    </w:p>
    <w:p>
      <w:pPr>
        <w:numPr>
          <w:ilvl w:val="0"/>
          <w:numId w:val="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Asociaţii şi agenţii (Asociația națională a internet service providerilor din România, Asociația operatorilor de telecomunicații din România,Asociația pentru tehnologie și internet, Asociația producătorilor și distribuitorilor de echipamente de tehnologia informației și comunicațiilor etc)</w:t>
      </w:r>
    </w:p>
    <w:p>
      <w:pPr>
        <w:numPr>
          <w:ilvl w:val="0"/>
          <w:numId w:val="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Institute de cercetare (INSTITUTUL DE GEODINAMICA, Institutul de ocrotire a mamei si copilului POLIZU, Institutul de Virusologie "Stefan S. Nicolau", Institutul National de Cercetare Dezvoltare Mecatronica si Tehnica Masuratorii, Institutul National de Cercetare-dezvoltare Aerospațiala "Elie Carafoli" – INCAS etc)</w:t>
      </w:r>
    </w:p>
    <w:p>
      <w:pPr>
        <w:numPr>
          <w:ilvl w:val="0"/>
          <w:numId w:val="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Camere de Comerţ şi Industrie</w:t>
      </w:r>
    </w:p>
    <w:p>
      <w:pPr>
        <w:numPr>
          <w:ilvl w:val="0"/>
          <w:numId w:val="76"/>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Firme (S.C. RENAULT TECHNOLOGIE ROUMANIE S.R.L. ,S.C. AMD INITIATIVE S.R.L., S.C. Beia Consult International S.R.L. ,S.C. BIOTEHNOS SA Otopeni, S.C. DIGITECH ELECTRIC S.R.L., S.C. ELECTRO OPTIC SYSTEMS S.R.L., S.C. GNOSIS EVOMED S.R.L. etc)</w:t>
      </w:r>
    </w:p>
    <w:p>
      <w:pPr>
        <w:numPr>
          <w:ilvl w:val="0"/>
          <w:numId w:val="76"/>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Organizația Mondială a Sănătății</w:t>
      </w:r>
    </w:p>
    <w:p>
      <w:pPr>
        <w:spacing w:before="240" w:after="240"/>
        <w:jc w:val="left"/>
        <w:rPr>
          <w:rFonts w:ascii="Times New Roman" w:eastAsia="Times New Roman" w:hAnsi="Times New Roman" w:cs="Times New Roman"/>
        </w:rPr>
      </w:pPr>
      <w:r>
        <w:rPr>
          <w:rFonts w:ascii="Times New Roman" w:eastAsia="Times New Roman" w:hAnsi="Times New Roman" w:cs="Times New Roman"/>
        </w:rPr>
        <w:t>Categorii de parteneri relevanti consultaţi pe domeniul TIC:</w:t>
      </w:r>
    </w:p>
    <w:p>
      <w:pPr>
        <w:numPr>
          <w:ilvl w:val="0"/>
          <w:numId w:val="77"/>
        </w:numPr>
        <w:spacing w:before="240" w:after="0"/>
        <w:ind w:left="720" w:hanging="210"/>
        <w:jc w:val="left"/>
        <w:rPr>
          <w:rFonts w:ascii="Times New Roman" w:eastAsia="Times New Roman" w:hAnsi="Times New Roman" w:cs="Times New Roman"/>
        </w:rPr>
      </w:pPr>
      <w:r>
        <w:rPr>
          <w:rFonts w:ascii="Times New Roman" w:eastAsia="Times New Roman" w:hAnsi="Times New Roman" w:cs="Times New Roman"/>
        </w:rPr>
        <w:t>Institute de cercetare (Institutul național de cercetare-dezvoltare în informatică, Institutul național de studii și cercetări pentru comunicații)</w:t>
      </w:r>
    </w:p>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Asociații (Asociația națională a providerilor de internet din România, Asociația operatorilor de telecomunicații din România, Asociația pentru tehnologie și internet)</w:t>
      </w:r>
    </w:p>
    <w:p>
      <w:pPr>
        <w:numPr>
          <w:ilvl w:val="0"/>
          <w:numId w:val="77"/>
        </w:numPr>
        <w:spacing w:before="0" w:after="0"/>
        <w:ind w:left="720" w:hanging="210"/>
        <w:jc w:val="left"/>
        <w:rPr>
          <w:rFonts w:ascii="Times New Roman" w:eastAsia="Times New Roman" w:hAnsi="Times New Roman" w:cs="Times New Roman"/>
        </w:rPr>
      </w:pPr>
      <w:r>
        <w:rPr>
          <w:rFonts w:ascii="Times New Roman" w:eastAsia="Times New Roman" w:hAnsi="Times New Roman" w:cs="Times New Roman"/>
        </w:rPr>
        <w:t>Fundații (Fundația EOS România)</w:t>
      </w:r>
    </w:p>
    <w:p>
      <w:pPr>
        <w:numPr>
          <w:ilvl w:val="0"/>
          <w:numId w:val="77"/>
        </w:numPr>
        <w:spacing w:before="0" w:after="240"/>
        <w:ind w:left="720" w:hanging="210"/>
        <w:jc w:val="left"/>
        <w:rPr>
          <w:rFonts w:ascii="Times New Roman" w:eastAsia="Times New Roman" w:hAnsi="Times New Roman" w:cs="Times New Roman"/>
        </w:rPr>
      </w:pPr>
      <w:r>
        <w:rPr>
          <w:rFonts w:ascii="Times New Roman" w:eastAsia="Times New Roman" w:hAnsi="Times New Roman" w:cs="Times New Roman"/>
        </w:rPr>
        <w:t>Centre TIC (Centrul național de răspuns la incidente de securitate cibernetică , Centrul național România digitală).</w:t>
      </w:r>
    </w:p>
    <w:p w:rsidR="008D5009" w:rsidP="008D5009">
      <w:pPr>
        <w:pStyle w:val="Text1"/>
        <w:spacing w:before="0" w:after="0"/>
        <w:ind w:left="0"/>
        <w:rPr>
          <w:color w:val="000000"/>
          <w:sz w:val="22"/>
          <w:szCs w:val="22"/>
        </w:rPr>
        <w:sectPr w:rsidSect="00BF725A">
          <w:headerReference w:type="default" r:id="rId29"/>
          <w:footerReference w:type="default" r:id="rId30"/>
          <w:headerReference w:type="first" r:id="rId31"/>
          <w:footerReference w:type="first" r:id="rId32"/>
          <w:pgSz w:w="16838" w:h="11906" w:orient="landscape"/>
          <w:pgMar w:top="567" w:right="567" w:bottom="0" w:left="851" w:header="0" w:footer="284" w:gutter="0"/>
          <w:cols w:space="708"/>
          <w:docGrid w:linePitch="360"/>
        </w:sectPr>
      </w:pPr>
    </w:p>
    <w:p w:rsidR="00082313" w:rsidP="00B803E1">
      <w:pPr>
        <w:pStyle w:val="Heading10"/>
        <w:numPr>
          <w:ilvl w:val="0"/>
          <w:numId w:val="0"/>
        </w:numPr>
      </w:pPr>
      <w:bookmarkStart w:id="257" w:name="_Toc256000130"/>
      <w:r>
        <w:rPr>
          <w:noProof/>
        </w:rPr>
        <w:t>Documents</w:t>
      </w:r>
      <w:bookmarkEnd w:id="257"/>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1"/>
        <w:gridCol w:w="2167"/>
        <w:gridCol w:w="2167"/>
        <w:gridCol w:w="2211"/>
        <w:gridCol w:w="2999"/>
        <w:gridCol w:w="947"/>
        <w:gridCol w:w="1485"/>
        <w:gridCol w:w="1304"/>
      </w:tblGrid>
      <w:tr w:rsidTr="00CF383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tblHeader/>
        </w:trPr>
        <w:tc>
          <w:tcPr>
            <w:shd w:val="clear" w:color="auto" w:fill="auto"/>
            <w:vAlign w:val="center"/>
          </w:tcPr>
          <w:p w:rsidR="00082313" w:rsidRPr="00C40F08" w:rsidP="00BF52F6">
            <w:pPr>
              <w:pStyle w:val="NormalCentered"/>
              <w:spacing w:before="0" w:after="0"/>
              <w:rPr>
                <w:b/>
                <w:sz w:val="16"/>
                <w:szCs w:val="16"/>
              </w:rPr>
            </w:pPr>
            <w:r>
              <w:rPr>
                <w:b/>
                <w:noProof/>
                <w:sz w:val="16"/>
                <w:szCs w:val="16"/>
              </w:rPr>
              <w:t>Document title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Document type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Document date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Local reference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Commission reference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Files</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Sent date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Sent By</w:t>
            </w:r>
          </w:p>
        </w:tc>
      </w:tr>
    </w:tbl>
    <w:p w:rsidR="00082313" w:rsidP="00BF52F6">
      <w:pPr>
        <w:spacing w:before="0" w:after="0"/>
      </w:pPr>
    </w:p>
    <w:p w:rsidR="00082313" w:rsidP="00BF52F6">
      <w:pPr>
        <w:pStyle w:val="ManualHeading20"/>
        <w:spacing w:before="0" w:after="0"/>
      </w:pPr>
      <w:bookmarkStart w:id="258" w:name="_Toc256000131"/>
      <w:r>
        <w:rPr>
          <w:noProof/>
        </w:rPr>
        <w:t>Submitted annexes by the Commission implementing regulation laying down the model of the programme</w:t>
      </w:r>
      <w:bookmarkEnd w:id="258"/>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31"/>
        <w:gridCol w:w="1667"/>
        <w:gridCol w:w="1172"/>
        <w:gridCol w:w="940"/>
        <w:gridCol w:w="956"/>
        <w:gridCol w:w="1525"/>
        <w:gridCol w:w="3703"/>
        <w:gridCol w:w="757"/>
        <w:gridCol w:w="849"/>
      </w:tblGrid>
      <w:tr w:rsidTr="00CF3839">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3"/>
          <w:tblHeader/>
        </w:trPr>
        <w:tc>
          <w:tcPr>
            <w:shd w:val="clear" w:color="auto" w:fill="auto"/>
            <w:vAlign w:val="center"/>
          </w:tcPr>
          <w:p w:rsidR="00082313" w:rsidRPr="00C40F08" w:rsidP="00BF52F6">
            <w:pPr>
              <w:pStyle w:val="NormalCentered"/>
              <w:spacing w:before="0" w:after="0"/>
              <w:rPr>
                <w:b/>
                <w:sz w:val="16"/>
                <w:szCs w:val="16"/>
              </w:rPr>
            </w:pPr>
            <w:r>
              <w:rPr>
                <w:b/>
                <w:noProof/>
                <w:sz w:val="16"/>
                <w:szCs w:val="16"/>
              </w:rPr>
              <w:t>Document title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Document type</w:t>
            </w:r>
          </w:p>
        </w:tc>
        <w:tc>
          <w:tcPr>
            <w:vAlign w:val="center"/>
          </w:tcPr>
          <w:p w:rsidR="00082313" w:rsidRPr="00C40F08" w:rsidP="00BF52F6">
            <w:pPr>
              <w:pStyle w:val="NormalCentered"/>
              <w:spacing w:before="0" w:after="0"/>
              <w:rPr>
                <w:b/>
                <w:sz w:val="16"/>
                <w:szCs w:val="16"/>
              </w:rPr>
            </w:pPr>
            <w:r>
              <w:rPr>
                <w:b/>
                <w:noProof/>
                <w:sz w:val="16"/>
                <w:szCs w:val="16"/>
              </w:rPr>
              <w:t>Programme version</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Document date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Local reference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Commission reference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Files</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Sent date</w:t>
            </w:r>
          </w:p>
        </w:tc>
        <w:tc>
          <w:tcPr>
            <w:shd w:val="clear" w:color="auto" w:fill="auto"/>
            <w:vAlign w:val="center"/>
          </w:tcPr>
          <w:p w:rsidR="00082313" w:rsidRPr="00C40F08" w:rsidP="00BF52F6">
            <w:pPr>
              <w:pStyle w:val="NormalCentered"/>
              <w:spacing w:before="0" w:after="0"/>
              <w:rPr>
                <w:b/>
                <w:sz w:val="16"/>
                <w:szCs w:val="16"/>
              </w:rPr>
            </w:pPr>
            <w:r>
              <w:rPr>
                <w:b/>
                <w:noProof/>
                <w:sz w:val="16"/>
                <w:szCs w:val="16"/>
              </w:rPr>
              <w:t>Sent By</w:t>
            </w:r>
          </w:p>
        </w:tc>
      </w:tr>
      <w:tr w:rsidTr="00CF3839">
        <w:tblPrEx>
          <w:tblW w:w="5000" w:type="pct"/>
          <w:tblLook w:val="04A0"/>
        </w:tblPrEx>
        <w:trPr>
          <w:trHeight w:val="283"/>
        </w:trPr>
        <w:tc>
          <w:tcPr>
            <w:shd w:val="clear" w:color="auto" w:fill="auto"/>
          </w:tcPr>
          <w:p w:rsidR="00082313" w:rsidRPr="00E86267" w:rsidP="00BF52F6">
            <w:pPr>
              <w:pStyle w:val="NormalLeft"/>
              <w:spacing w:before="0" w:after="0"/>
              <w:rPr>
                <w:sz w:val="16"/>
                <w:szCs w:val="16"/>
              </w:rPr>
            </w:pPr>
            <w:r w:rsidRPr="00E86267">
              <w:rPr>
                <w:noProof/>
                <w:sz w:val="16"/>
                <w:szCs w:val="16"/>
              </w:rPr>
              <w:t>Ex-Ante evaluation of the 2014-2020 Operational Programme Competitiveness</w:t>
            </w:r>
          </w:p>
        </w:tc>
        <w:tc>
          <w:tcPr>
            <w:shd w:val="clear" w:color="auto" w:fill="auto"/>
          </w:tcPr>
          <w:p w:rsidR="00082313" w:rsidRPr="00E86267" w:rsidP="00BF52F6">
            <w:pPr>
              <w:pStyle w:val="NormalLeft"/>
              <w:spacing w:before="0" w:after="0"/>
              <w:rPr>
                <w:sz w:val="16"/>
                <w:szCs w:val="16"/>
              </w:rPr>
            </w:pPr>
            <w:r w:rsidRPr="00E86267">
              <w:rPr>
                <w:noProof/>
                <w:sz w:val="16"/>
                <w:szCs w:val="16"/>
              </w:rPr>
              <w:t>Report of the ex-ante evaluation</w:t>
            </w:r>
          </w:p>
        </w:tc>
        <w:tc>
          <w:tcPr/>
          <w:p w:rsidR="00082313" w:rsidRPr="00E86267" w:rsidP="00BF52F6">
            <w:pPr>
              <w:pStyle w:val="NormalLeft"/>
              <w:spacing w:before="0" w:after="0"/>
              <w:jc w:val="center"/>
              <w:rPr>
                <w:sz w:val="16"/>
                <w:szCs w:val="16"/>
              </w:rPr>
            </w:pPr>
            <w:r>
              <w:rPr>
                <w:noProof/>
                <w:sz w:val="16"/>
                <w:szCs w:val="16"/>
              </w:rPr>
              <w:t>1.2</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08-Dec-2014</w:t>
            </w:r>
          </w:p>
        </w:tc>
        <w:tc>
          <w:tcPr>
            <w:shd w:val="clear" w:color="auto" w:fill="auto"/>
          </w:tcPr>
          <w:p w:rsidR="00082313" w:rsidRPr="00E86267" w:rsidP="00BF52F6">
            <w:pPr>
              <w:pStyle w:val="NormalLeft"/>
              <w:spacing w:before="0" w:after="0"/>
              <w:rPr>
                <w:sz w:val="16"/>
                <w:szCs w:val="16"/>
              </w:rPr>
            </w:pPr>
          </w:p>
        </w:tc>
        <w:tc>
          <w:tcPr>
            <w:shd w:val="clear" w:color="auto" w:fill="auto"/>
          </w:tcPr>
          <w:p w:rsidR="00082313" w:rsidRPr="00E86267" w:rsidP="00BF52F6">
            <w:pPr>
              <w:pStyle w:val="NormalLeft"/>
              <w:spacing w:before="0" w:after="0"/>
              <w:rPr>
                <w:sz w:val="16"/>
                <w:szCs w:val="16"/>
              </w:rPr>
            </w:pPr>
            <w:r w:rsidRPr="00E86267">
              <w:rPr>
                <w:noProof/>
                <w:sz w:val="16"/>
                <w:szCs w:val="16"/>
              </w:rPr>
              <w:t>Ares(2014)4270658</w:t>
            </w:r>
          </w:p>
        </w:tc>
        <w:tc>
          <w:tcPr>
            <w:shd w:val="clear" w:color="auto" w:fill="auto"/>
          </w:tcPr>
          <w:p w:rsidR="00082313" w:rsidRPr="00E86267" w:rsidP="00BF52F6">
            <w:pPr>
              <w:pStyle w:val="NormalLeft"/>
              <w:spacing w:before="0" w:after="0"/>
              <w:rPr>
                <w:sz w:val="16"/>
                <w:szCs w:val="16"/>
              </w:rPr>
            </w:pPr>
            <w:r w:rsidRPr="00E86267">
              <w:rPr>
                <w:noProof/>
                <w:sz w:val="16"/>
                <w:szCs w:val="16"/>
              </w:rPr>
              <w:t>Ex-Ante evaluation of the 2014-2020 Operational Programme Competitiveness</w:t>
            </w:r>
            <w:r w:rsidRPr="00E86267">
              <w:rPr>
                <w:sz w:val="16"/>
                <w:szCs w:val="16"/>
              </w:rPr>
              <w:t xml:space="preserve"> </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18-Dec-2014</w:t>
            </w:r>
          </w:p>
        </w:tc>
        <w:tc>
          <w:tcPr>
            <w:shd w:val="clear" w:color="auto" w:fill="auto"/>
          </w:tcPr>
          <w:p w:rsidR="00082313" w:rsidRPr="00E86267" w:rsidP="00BF52F6">
            <w:pPr>
              <w:pStyle w:val="NormalLeft"/>
              <w:spacing w:before="0" w:after="0"/>
              <w:rPr>
                <w:sz w:val="16"/>
                <w:szCs w:val="16"/>
              </w:rPr>
            </w:pPr>
            <w:r w:rsidRPr="00E86267">
              <w:rPr>
                <w:noProof/>
                <w:sz w:val="16"/>
                <w:szCs w:val="16"/>
              </w:rPr>
              <w:t>ntoamiha</w:t>
            </w:r>
          </w:p>
          <w:p w:rsidR="00082313" w:rsidRPr="00E86267" w:rsidP="00BF52F6">
            <w:pPr>
              <w:pStyle w:val="NormalLeft"/>
              <w:spacing w:before="0" w:after="0"/>
              <w:rPr>
                <w:sz w:val="16"/>
                <w:szCs w:val="16"/>
              </w:rPr>
            </w:pPr>
          </w:p>
        </w:tc>
      </w:tr>
      <w:tr w:rsidTr="00CF3839">
        <w:tblPrEx>
          <w:tblW w:w="5000" w:type="pct"/>
          <w:tblLook w:val="04A0"/>
        </w:tblPrEx>
        <w:trPr>
          <w:trHeight w:val="283"/>
        </w:trPr>
        <w:tc>
          <w:tcPr>
            <w:shd w:val="clear" w:color="auto" w:fill="auto"/>
          </w:tcPr>
          <w:p w:rsidR="00082313" w:rsidRPr="00E86267" w:rsidP="00BF52F6">
            <w:pPr>
              <w:pStyle w:val="NormalLeft"/>
              <w:spacing w:before="0" w:after="0"/>
              <w:rPr>
                <w:sz w:val="16"/>
                <w:szCs w:val="16"/>
              </w:rPr>
            </w:pPr>
            <w:r w:rsidRPr="00E86267">
              <w:rPr>
                <w:noProof/>
                <w:sz w:val="16"/>
                <w:szCs w:val="16"/>
              </w:rPr>
              <w:t>Citizens' summary COP</w:t>
            </w:r>
          </w:p>
        </w:tc>
        <w:tc>
          <w:tcPr>
            <w:shd w:val="clear" w:color="auto" w:fill="auto"/>
          </w:tcPr>
          <w:p w:rsidR="00082313" w:rsidRPr="00E86267" w:rsidP="00BF52F6">
            <w:pPr>
              <w:pStyle w:val="NormalLeft"/>
              <w:spacing w:before="0" w:after="0"/>
              <w:rPr>
                <w:sz w:val="16"/>
                <w:szCs w:val="16"/>
              </w:rPr>
            </w:pPr>
            <w:r w:rsidRPr="00E86267">
              <w:rPr>
                <w:noProof/>
                <w:sz w:val="16"/>
                <w:szCs w:val="16"/>
              </w:rPr>
              <w:t>Citizens' summary</w:t>
            </w:r>
          </w:p>
        </w:tc>
        <w:tc>
          <w:tcPr/>
          <w:p w:rsidR="00082313" w:rsidRPr="00E86267" w:rsidP="00BF52F6">
            <w:pPr>
              <w:pStyle w:val="NormalLeft"/>
              <w:spacing w:before="0" w:after="0"/>
              <w:jc w:val="center"/>
              <w:rPr>
                <w:sz w:val="16"/>
                <w:szCs w:val="16"/>
              </w:rPr>
            </w:pPr>
            <w:r>
              <w:rPr>
                <w:noProof/>
                <w:sz w:val="16"/>
                <w:szCs w:val="16"/>
              </w:rPr>
              <w:t>1.2</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08-Dec-2014</w:t>
            </w:r>
          </w:p>
        </w:tc>
        <w:tc>
          <w:tcPr>
            <w:shd w:val="clear" w:color="auto" w:fill="auto"/>
          </w:tcPr>
          <w:p w:rsidR="00082313" w:rsidRPr="00E86267" w:rsidP="00BF52F6">
            <w:pPr>
              <w:pStyle w:val="NormalLeft"/>
              <w:spacing w:before="0" w:after="0"/>
              <w:rPr>
                <w:sz w:val="16"/>
                <w:szCs w:val="16"/>
              </w:rPr>
            </w:pPr>
          </w:p>
        </w:tc>
        <w:tc>
          <w:tcPr>
            <w:shd w:val="clear" w:color="auto" w:fill="auto"/>
          </w:tcPr>
          <w:p w:rsidR="00082313" w:rsidRPr="00E86267" w:rsidP="00BF52F6">
            <w:pPr>
              <w:pStyle w:val="NormalLeft"/>
              <w:spacing w:before="0" w:after="0"/>
              <w:rPr>
                <w:sz w:val="16"/>
                <w:szCs w:val="16"/>
              </w:rPr>
            </w:pPr>
            <w:r w:rsidRPr="00E86267">
              <w:rPr>
                <w:noProof/>
                <w:sz w:val="16"/>
                <w:szCs w:val="16"/>
              </w:rPr>
              <w:t>Ares(2014)4270658</w:t>
            </w:r>
          </w:p>
        </w:tc>
        <w:tc>
          <w:tcPr>
            <w:shd w:val="clear" w:color="auto" w:fill="auto"/>
          </w:tcPr>
          <w:p w:rsidR="00082313" w:rsidRPr="00E86267" w:rsidP="00BF52F6">
            <w:pPr>
              <w:pStyle w:val="NormalLeft"/>
              <w:spacing w:before="0" w:after="0"/>
              <w:rPr>
                <w:sz w:val="16"/>
                <w:szCs w:val="16"/>
              </w:rPr>
            </w:pPr>
            <w:r w:rsidRPr="00E86267">
              <w:rPr>
                <w:noProof/>
                <w:sz w:val="16"/>
                <w:szCs w:val="16"/>
              </w:rPr>
              <w:t>Citizens' summary COP</w:t>
            </w:r>
            <w:r w:rsidRPr="00E86267">
              <w:rPr>
                <w:sz w:val="16"/>
                <w:szCs w:val="16"/>
              </w:rPr>
              <w:t xml:space="preserve"> </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18-Dec-2014</w:t>
            </w:r>
          </w:p>
        </w:tc>
        <w:tc>
          <w:tcPr>
            <w:shd w:val="clear" w:color="auto" w:fill="auto"/>
          </w:tcPr>
          <w:p w:rsidR="00082313" w:rsidRPr="00E86267" w:rsidP="00BF52F6">
            <w:pPr>
              <w:pStyle w:val="NormalLeft"/>
              <w:spacing w:before="0" w:after="0"/>
              <w:rPr>
                <w:sz w:val="16"/>
                <w:szCs w:val="16"/>
              </w:rPr>
            </w:pPr>
            <w:r w:rsidRPr="00E86267">
              <w:rPr>
                <w:noProof/>
                <w:sz w:val="16"/>
                <w:szCs w:val="16"/>
              </w:rPr>
              <w:t>ntoamiha</w:t>
            </w:r>
          </w:p>
          <w:p w:rsidR="00082313" w:rsidRPr="00E86267" w:rsidP="00BF52F6">
            <w:pPr>
              <w:pStyle w:val="NormalLeft"/>
              <w:spacing w:before="0" w:after="0"/>
              <w:rPr>
                <w:sz w:val="16"/>
                <w:szCs w:val="16"/>
              </w:rPr>
            </w:pPr>
          </w:p>
        </w:tc>
      </w:tr>
      <w:tr w:rsidTr="00CF3839">
        <w:tblPrEx>
          <w:tblW w:w="5000" w:type="pct"/>
          <w:tblLook w:val="04A0"/>
        </w:tblPrEx>
        <w:trPr>
          <w:trHeight w:val="283"/>
        </w:trPr>
        <w:tc>
          <w:tcPr>
            <w:shd w:val="clear" w:color="auto" w:fill="auto"/>
          </w:tcPr>
          <w:p w:rsidR="00082313" w:rsidRPr="00E86267" w:rsidP="00BF52F6">
            <w:pPr>
              <w:pStyle w:val="NormalLeft"/>
              <w:spacing w:before="0" w:after="0"/>
              <w:rPr>
                <w:sz w:val="16"/>
                <w:szCs w:val="16"/>
              </w:rPr>
            </w:pPr>
            <w:r w:rsidRPr="00E86267">
              <w:rPr>
                <w:noProof/>
                <w:sz w:val="16"/>
                <w:szCs w:val="16"/>
              </w:rPr>
              <w:t>Programme Snapshot of data before send 2014RO16RFOP001 6.2</w:t>
            </w:r>
          </w:p>
        </w:tc>
        <w:tc>
          <w:tcPr>
            <w:shd w:val="clear" w:color="auto" w:fill="auto"/>
          </w:tcPr>
          <w:p w:rsidR="00082313" w:rsidRPr="00E86267" w:rsidP="00BF52F6">
            <w:pPr>
              <w:pStyle w:val="NormalLeft"/>
              <w:spacing w:before="0" w:after="0"/>
              <w:rPr>
                <w:sz w:val="16"/>
                <w:szCs w:val="16"/>
              </w:rPr>
            </w:pPr>
            <w:r w:rsidRPr="00E86267">
              <w:rPr>
                <w:noProof/>
                <w:sz w:val="16"/>
                <w:szCs w:val="16"/>
              </w:rPr>
              <w:t>Snapshot of data before send</w:t>
            </w:r>
          </w:p>
        </w:tc>
        <w:tc>
          <w:tcPr/>
          <w:p w:rsidR="00082313" w:rsidRPr="00E86267" w:rsidP="00BF52F6">
            <w:pPr>
              <w:pStyle w:val="NormalLeft"/>
              <w:spacing w:before="0" w:after="0"/>
              <w:jc w:val="center"/>
              <w:rPr>
                <w:sz w:val="16"/>
                <w:szCs w:val="16"/>
              </w:rPr>
            </w:pPr>
            <w:r>
              <w:rPr>
                <w:noProof/>
                <w:sz w:val="16"/>
                <w:szCs w:val="16"/>
              </w:rPr>
              <w:t>6.2</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07-Sep-2020</w:t>
            </w:r>
          </w:p>
        </w:tc>
        <w:tc>
          <w:tcPr>
            <w:shd w:val="clear" w:color="auto" w:fill="auto"/>
          </w:tcPr>
          <w:p w:rsidR="00082313" w:rsidRPr="00E86267" w:rsidP="00BF52F6">
            <w:pPr>
              <w:pStyle w:val="NormalLeft"/>
              <w:spacing w:before="0" w:after="0"/>
              <w:rPr>
                <w:sz w:val="16"/>
                <w:szCs w:val="16"/>
              </w:rPr>
            </w:pPr>
          </w:p>
        </w:tc>
        <w:tc>
          <w:tcPr>
            <w:shd w:val="clear" w:color="auto" w:fill="auto"/>
          </w:tcPr>
          <w:p w:rsidR="00082313" w:rsidRPr="00E86267" w:rsidP="00BF52F6">
            <w:pPr>
              <w:pStyle w:val="NormalLeft"/>
              <w:spacing w:before="0" w:after="0"/>
              <w:rPr>
                <w:sz w:val="16"/>
                <w:szCs w:val="16"/>
              </w:rPr>
            </w:pPr>
            <w:r w:rsidRPr="00E86267">
              <w:rPr>
                <w:noProof/>
                <w:sz w:val="16"/>
                <w:szCs w:val="16"/>
              </w:rPr>
              <w:t>Ares(2020)4648234</w:t>
            </w:r>
          </w:p>
        </w:tc>
        <w:tc>
          <w:tcPr>
            <w:shd w:val="clear" w:color="auto" w:fill="auto"/>
          </w:tcPr>
          <w:p w:rsidR="00082313" w:rsidRPr="00E86267" w:rsidP="00BF52F6">
            <w:pPr>
              <w:pStyle w:val="NormalLeft"/>
              <w:spacing w:before="0" w:after="0"/>
              <w:rPr>
                <w:sz w:val="16"/>
                <w:szCs w:val="16"/>
              </w:rPr>
            </w:pPr>
            <w:r w:rsidRPr="00E86267">
              <w:rPr>
                <w:noProof/>
                <w:sz w:val="16"/>
                <w:szCs w:val="16"/>
              </w:rPr>
              <w:t>Programme Snapshot of data before send 2014RO16RFOP001 6.2 ro</w:t>
            </w:r>
            <w:r w:rsidRPr="00E86267">
              <w:rPr>
                <w:sz w:val="16"/>
                <w:szCs w:val="16"/>
              </w:rPr>
              <w:t xml:space="preserve"> </w:t>
            </w:r>
          </w:p>
        </w:tc>
        <w:tc>
          <w:tcPr>
            <w:shd w:val="clear" w:color="auto" w:fill="auto"/>
          </w:tcPr>
          <w:p w:rsidR="00082313" w:rsidRPr="00E86267" w:rsidP="00BF52F6">
            <w:pPr>
              <w:pStyle w:val="NormalLeft"/>
              <w:spacing w:before="0" w:after="0"/>
              <w:jc w:val="center"/>
              <w:rPr>
                <w:sz w:val="16"/>
                <w:szCs w:val="16"/>
              </w:rPr>
            </w:pPr>
            <w:r w:rsidRPr="00E86267">
              <w:rPr>
                <w:noProof/>
                <w:sz w:val="16"/>
                <w:szCs w:val="16"/>
              </w:rPr>
              <w:t>07-Sep-2020</w:t>
            </w:r>
          </w:p>
        </w:tc>
        <w:tc>
          <w:tcPr>
            <w:shd w:val="clear" w:color="auto" w:fill="auto"/>
          </w:tcPr>
          <w:p w:rsidR="00082313" w:rsidRPr="00E86267" w:rsidP="00BF52F6">
            <w:pPr>
              <w:pStyle w:val="NormalLeft"/>
              <w:spacing w:before="0" w:after="0"/>
              <w:rPr>
                <w:sz w:val="16"/>
                <w:szCs w:val="16"/>
              </w:rPr>
            </w:pPr>
            <w:r w:rsidRPr="00E86267">
              <w:rPr>
                <w:noProof/>
                <w:sz w:val="16"/>
                <w:szCs w:val="16"/>
              </w:rPr>
              <w:t>nbusonan</w:t>
            </w:r>
          </w:p>
          <w:p w:rsidR="00082313" w:rsidRPr="00E86267" w:rsidP="00BF52F6">
            <w:pPr>
              <w:pStyle w:val="NormalLeft"/>
              <w:spacing w:before="0" w:after="0"/>
              <w:rPr>
                <w:sz w:val="16"/>
                <w:szCs w:val="16"/>
              </w:rPr>
            </w:pPr>
          </w:p>
        </w:tc>
      </w:tr>
    </w:tbl>
    <w:p w:rsidR="00082313" w:rsidP="00BF52F6">
      <w:pPr>
        <w:spacing w:before="0" w:after="0"/>
      </w:pPr>
    </w:p>
    <w:p w:rsidR="00094173" w:rsidP="00BF52F6">
      <w:pPr>
        <w:spacing w:before="0" w:after="0"/>
        <w:sectPr w:rsidSect="005B5AA0">
          <w:headerReference w:type="default" r:id="rId33"/>
          <w:footerReference w:type="default" r:id="rId34"/>
          <w:type w:val="nextPage"/>
          <w:pgSz w:w="16838" w:h="11906" w:orient="landscape"/>
          <w:pgMar w:top="0" w:right="567" w:bottom="0" w:left="851" w:header="0" w:footer="284" w:gutter="0"/>
          <w:cols w:space="708"/>
          <w:docGrid w:linePitch="360"/>
        </w:sectPr>
      </w:pPr>
    </w:p>
    <w:p w:rsidR="00434D73" w:rsidP="00562C60">
      <w:pPr>
        <w:pStyle w:val="Heading10"/>
        <w:numPr>
          <w:ilvl w:val="0"/>
          <w:numId w:val="0"/>
        </w:numPr>
        <w:spacing w:before="0" w:after="0"/>
        <w:ind w:right="111"/>
      </w:pPr>
      <w:bookmarkStart w:id="259" w:name="_Toc256000132"/>
      <w:r w:rsidR="00F05543">
        <w:rPr>
          <w:noProof/>
        </w:rPr>
        <w:t>Latest validation results</w:t>
      </w:r>
      <w:bookmarkEnd w:id="259"/>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
      <w:tblGrid>
        <w:gridCol w:w="688"/>
        <w:gridCol w:w="528"/>
        <w:gridCol w:w="14184"/>
      </w:tblGrid>
      <w:tr w:rsidTr="00BA1B5A">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Look w:val="04A0"/>
        </w:tblPrEx>
        <w:trPr>
          <w:trHeight w:val="283"/>
          <w:tblHeader/>
        </w:trPr>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Severity</w:t>
            </w:r>
          </w:p>
        </w:tc>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Code</w:t>
            </w:r>
          </w:p>
        </w:tc>
        <w:tc>
          <w:tcPr>
            <w:shd w:val="clear" w:color="auto" w:fill="auto"/>
            <w:vAlign w:val="center"/>
          </w:tcPr>
          <w:p w:rsidR="00434D73" w:rsidRPr="00DD2742" w:rsidP="006477CC">
            <w:pPr>
              <w:pStyle w:val="NormalCentered"/>
              <w:spacing w:before="0" w:after="0"/>
              <w:rPr>
                <w:b/>
                <w:sz w:val="16"/>
                <w:szCs w:val="16"/>
              </w:rPr>
            </w:pPr>
            <w:r w:rsidRPr="00DD2742">
              <w:rPr>
                <w:b/>
                <w:noProof/>
                <w:sz w:val="16"/>
                <w:szCs w:val="16"/>
              </w:rPr>
              <w:t>Message</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Info</w:t>
            </w:r>
          </w:p>
        </w:tc>
        <w:tc>
          <w:tcPr>
            <w:shd w:val="clear" w:color="auto" w:fill="auto"/>
          </w:tcPr>
          <w:p w:rsidR="00434D73" w:rsidRPr="00DD2742" w:rsidP="006477CC">
            <w:pPr>
              <w:pStyle w:val="NormalLeft"/>
              <w:spacing w:before="0" w:after="0"/>
              <w:rPr>
                <w:sz w:val="16"/>
                <w:szCs w:val="16"/>
              </w:rPr>
            </w:pPr>
          </w:p>
        </w:tc>
        <w:tc>
          <w:tcPr>
            <w:shd w:val="clear" w:color="auto" w:fill="auto"/>
          </w:tcPr>
          <w:p w:rsidR="00434D73" w:rsidRPr="00DD2742" w:rsidP="006477CC">
            <w:pPr>
              <w:pStyle w:val="NormalLeft"/>
              <w:spacing w:before="0" w:after="0"/>
              <w:rPr>
                <w:sz w:val="16"/>
                <w:szCs w:val="16"/>
              </w:rPr>
            </w:pPr>
            <w:r w:rsidRPr="00DD2742">
              <w:rPr>
                <w:noProof/>
                <w:sz w:val="16"/>
                <w:szCs w:val="16"/>
              </w:rPr>
              <w:t>Programme version has been validated.</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Warning</w:t>
            </w:r>
          </w:p>
        </w:tc>
        <w:tc>
          <w:tcPr>
            <w:shd w:val="clear" w:color="auto" w:fill="auto"/>
          </w:tcPr>
          <w:p w:rsidR="00434D73" w:rsidRPr="00DD2742" w:rsidP="006477CC">
            <w:pPr>
              <w:pStyle w:val="NormalLeft"/>
              <w:spacing w:before="0" w:after="0"/>
              <w:rPr>
                <w:sz w:val="16"/>
                <w:szCs w:val="16"/>
              </w:rPr>
            </w:pPr>
            <w:r w:rsidRPr="00DD2742">
              <w:rPr>
                <w:noProof/>
                <w:sz w:val="16"/>
                <w:szCs w:val="16"/>
              </w:rPr>
              <w:t>2.19.3</w:t>
            </w:r>
          </w:p>
        </w:tc>
        <w:tc>
          <w:tcPr>
            <w:shd w:val="clear" w:color="auto" w:fill="auto"/>
          </w:tcPr>
          <w:p w:rsidR="00434D73" w:rsidRPr="00DD2742" w:rsidP="006477CC">
            <w:pPr>
              <w:pStyle w:val="NormalLeft"/>
              <w:spacing w:before="0" w:after="0"/>
              <w:rPr>
                <w:sz w:val="16"/>
                <w:szCs w:val="16"/>
              </w:rPr>
            </w:pPr>
            <w:r w:rsidRPr="00DD2742">
              <w:rPr>
                <w:sz w:val="16"/>
                <w:szCs w:val="16"/>
              </w:rPr>
              <w:t>T</w:t>
            </w:r>
            <w:r w:rsidRPr="00DD2742">
              <w:rPr>
                <w:sz w:val="16"/>
                <w:szCs w:val="16"/>
              </w:rPr>
              <w:t>h</w:t>
            </w:r>
            <w:r w:rsidRPr="00DD2742">
              <w:rPr>
                <w:sz w:val="16"/>
                <w:szCs w:val="16"/>
              </w:rPr>
              <w:t>e</w:t>
            </w:r>
            <w:r w:rsidRPr="00DD2742">
              <w:rPr>
                <w:sz w:val="16"/>
                <w:szCs w:val="16"/>
              </w:rPr>
              <w:t xml:space="preserve"> </w:t>
            </w:r>
            <w:r w:rsidRPr="00DD2742">
              <w:rPr>
                <w:sz w:val="16"/>
                <w:szCs w:val="16"/>
              </w:rPr>
              <w:t>s</w:t>
            </w:r>
            <w:r w:rsidRPr="00DD2742">
              <w:rPr>
                <w:sz w:val="16"/>
                <w:szCs w:val="16"/>
              </w:rPr>
              <w:t>u</w:t>
            </w:r>
            <w:r w:rsidRPr="00DD2742">
              <w:rPr>
                <w:sz w:val="16"/>
                <w:szCs w:val="16"/>
              </w:rPr>
              <w:t>m</w:t>
            </w:r>
            <w:r w:rsidRPr="00DD2742">
              <w:rPr>
                <w:sz w:val="16"/>
                <w:szCs w:val="16"/>
              </w:rPr>
              <w:t xml:space="preserve"> </w:t>
            </w:r>
            <w:r w:rsidRPr="00DD2742">
              <w:rPr>
                <w:sz w:val="16"/>
                <w:szCs w:val="16"/>
              </w:rPr>
              <w:t>o</w:t>
            </w:r>
            <w:r w:rsidRPr="00DD2742">
              <w:rPr>
                <w:sz w:val="16"/>
                <w:szCs w:val="16"/>
              </w:rPr>
              <w:t>f</w:t>
            </w:r>
            <w:r w:rsidRPr="00DD2742">
              <w:rPr>
                <w:sz w:val="16"/>
                <w:szCs w:val="16"/>
              </w:rPr>
              <w:t xml:space="preserve"> </w:t>
            </w:r>
            <w:r w:rsidRPr="00DD2742">
              <w:rPr>
                <w:sz w:val="16"/>
                <w:szCs w:val="16"/>
              </w:rPr>
              <w:t>t</w:t>
            </w:r>
            <w:r w:rsidRPr="00DD2742">
              <w:rPr>
                <w:sz w:val="16"/>
                <w:szCs w:val="16"/>
              </w:rPr>
              <w:t>h</w:t>
            </w:r>
            <w:r w:rsidRPr="00DD2742">
              <w:rPr>
                <w:sz w:val="16"/>
                <w:szCs w:val="16"/>
              </w:rPr>
              <w:t>e</w:t>
            </w:r>
            <w:r w:rsidRPr="00DD2742">
              <w:rPr>
                <w:sz w:val="16"/>
                <w:szCs w:val="16"/>
              </w:rPr>
              <w:t xml:space="preserve"> </w:t>
            </w:r>
            <w:r w:rsidRPr="00DD2742">
              <w:rPr>
                <w:sz w:val="16"/>
                <w:szCs w:val="16"/>
              </w:rPr>
              <w:t>a</w:t>
            </w:r>
            <w:r w:rsidRPr="00DD2742">
              <w:rPr>
                <w:sz w:val="16"/>
                <w:szCs w:val="16"/>
              </w:rPr>
              <w:t>n</w:t>
            </w:r>
            <w:r w:rsidRPr="00DD2742">
              <w:rPr>
                <w:sz w:val="16"/>
                <w:szCs w:val="16"/>
              </w:rPr>
              <w:t>n</w:t>
            </w:r>
            <w:r w:rsidRPr="00DD2742">
              <w:rPr>
                <w:sz w:val="16"/>
                <w:szCs w:val="16"/>
              </w:rPr>
              <w:t>u</w:t>
            </w:r>
            <w:r w:rsidRPr="00DD2742">
              <w:rPr>
                <w:sz w:val="16"/>
                <w:szCs w:val="16"/>
              </w:rPr>
              <w:t>a</w:t>
            </w:r>
            <w:r w:rsidRPr="00DD2742">
              <w:rPr>
                <w:sz w:val="16"/>
                <w:szCs w:val="16"/>
              </w:rPr>
              <w:t>l</w:t>
            </w:r>
            <w:r w:rsidRPr="00DD2742">
              <w:rPr>
                <w:sz w:val="16"/>
                <w:szCs w:val="16"/>
              </w:rPr>
              <w:t xml:space="preserve"> </w:t>
            </w:r>
            <w:r w:rsidRPr="00DD2742">
              <w:rPr>
                <w:sz w:val="16"/>
                <w:szCs w:val="16"/>
              </w:rPr>
              <w:t>E</w:t>
            </w:r>
            <w:r w:rsidRPr="00DD2742">
              <w:rPr>
                <w:sz w:val="16"/>
                <w:szCs w:val="16"/>
              </w:rPr>
              <w:t>U</w:t>
            </w:r>
            <w:r w:rsidRPr="00DD2742">
              <w:rPr>
                <w:sz w:val="16"/>
                <w:szCs w:val="16"/>
              </w:rPr>
              <w:t xml:space="preserve"> </w:t>
            </w:r>
            <w:r w:rsidRPr="00DD2742">
              <w:rPr>
                <w:sz w:val="16"/>
                <w:szCs w:val="16"/>
              </w:rPr>
              <w:t>S</w:t>
            </w:r>
            <w:r w:rsidRPr="00DD2742">
              <w:rPr>
                <w:sz w:val="16"/>
                <w:szCs w:val="16"/>
              </w:rPr>
              <w:t>u</w:t>
            </w:r>
            <w:r w:rsidRPr="00DD2742">
              <w:rPr>
                <w:sz w:val="16"/>
                <w:szCs w:val="16"/>
              </w:rPr>
              <w:t>p</w:t>
            </w:r>
            <w:r w:rsidRPr="00DD2742">
              <w:rPr>
                <w:sz w:val="16"/>
                <w:szCs w:val="16"/>
              </w:rPr>
              <w:t>p</w:t>
            </w:r>
            <w:r w:rsidRPr="00DD2742">
              <w:rPr>
                <w:sz w:val="16"/>
                <w:szCs w:val="16"/>
              </w:rPr>
              <w:t>o</w:t>
            </w:r>
            <w:r w:rsidRPr="00DD2742">
              <w:rPr>
                <w:sz w:val="16"/>
                <w:szCs w:val="16"/>
              </w:rPr>
              <w:t>r</w:t>
            </w:r>
            <w:r w:rsidRPr="00DD2742">
              <w:rPr>
                <w:sz w:val="16"/>
                <w:szCs w:val="16"/>
              </w:rPr>
              <w:t>t</w:t>
            </w:r>
            <w:r w:rsidRPr="00DD2742">
              <w:rPr>
                <w:sz w:val="16"/>
                <w:szCs w:val="16"/>
              </w:rPr>
              <w:t xml:space="preserve"> </w:t>
            </w:r>
            <w:r w:rsidRPr="00DD2742">
              <w:rPr>
                <w:sz w:val="16"/>
                <w:szCs w:val="16"/>
              </w:rPr>
              <w:t>p</w:t>
            </w:r>
            <w:r w:rsidRPr="00DD2742">
              <w:rPr>
                <w:sz w:val="16"/>
                <w:szCs w:val="16"/>
              </w:rPr>
              <w:t>e</w:t>
            </w:r>
            <w:r w:rsidRPr="00DD2742">
              <w:rPr>
                <w:sz w:val="16"/>
                <w:szCs w:val="16"/>
              </w:rPr>
              <w:t>r</w:t>
            </w:r>
            <w:r w:rsidRPr="00DD2742">
              <w:rPr>
                <w:sz w:val="16"/>
                <w:szCs w:val="16"/>
              </w:rPr>
              <w:t xml:space="preserve"> </w:t>
            </w:r>
            <w:r w:rsidRPr="00DD2742">
              <w:rPr>
                <w:sz w:val="16"/>
                <w:szCs w:val="16"/>
              </w:rPr>
              <w:t>c</w:t>
            </w:r>
            <w:r w:rsidRPr="00DD2742">
              <w:rPr>
                <w:sz w:val="16"/>
                <w:szCs w:val="16"/>
              </w:rPr>
              <w:t>a</w:t>
            </w:r>
            <w:r w:rsidRPr="00DD2742">
              <w:rPr>
                <w:sz w:val="16"/>
                <w:szCs w:val="16"/>
              </w:rPr>
              <w:t>t</w:t>
            </w:r>
            <w:r w:rsidRPr="00DD2742">
              <w:rPr>
                <w:sz w:val="16"/>
                <w:szCs w:val="16"/>
              </w:rPr>
              <w:t>e</w:t>
            </w:r>
            <w:r w:rsidRPr="00DD2742">
              <w:rPr>
                <w:sz w:val="16"/>
                <w:szCs w:val="16"/>
              </w:rPr>
              <w:t>g</w:t>
            </w:r>
            <w:r w:rsidRPr="00DD2742">
              <w:rPr>
                <w:sz w:val="16"/>
                <w:szCs w:val="16"/>
              </w:rPr>
              <w:t>o</w:t>
            </w:r>
            <w:r w:rsidRPr="00DD2742">
              <w:rPr>
                <w:sz w:val="16"/>
                <w:szCs w:val="16"/>
              </w:rPr>
              <w:t>r</w:t>
            </w:r>
            <w:r w:rsidRPr="00DD2742">
              <w:rPr>
                <w:sz w:val="16"/>
                <w:szCs w:val="16"/>
              </w:rPr>
              <w:t>y</w:t>
            </w:r>
            <w:r w:rsidRPr="00DD2742">
              <w:rPr>
                <w:sz w:val="16"/>
                <w:szCs w:val="16"/>
              </w:rPr>
              <w:t xml:space="preserve"> </w:t>
            </w:r>
            <w:r w:rsidRPr="00DD2742">
              <w:rPr>
                <w:sz w:val="16"/>
                <w:szCs w:val="16"/>
              </w:rPr>
              <w:t>o</w:t>
            </w:r>
            <w:r w:rsidRPr="00DD2742">
              <w:rPr>
                <w:sz w:val="16"/>
                <w:szCs w:val="16"/>
              </w:rPr>
              <w:t>f</w:t>
            </w:r>
            <w:r w:rsidRPr="00DD2742">
              <w:rPr>
                <w:sz w:val="16"/>
                <w:szCs w:val="16"/>
              </w:rPr>
              <w:t xml:space="preserve"> </w:t>
            </w:r>
            <w:r w:rsidRPr="00DD2742">
              <w:rPr>
                <w:sz w:val="16"/>
                <w:szCs w:val="16"/>
              </w:rPr>
              <w:t>r</w:t>
            </w:r>
            <w:r w:rsidRPr="00DD2742">
              <w:rPr>
                <w:sz w:val="16"/>
                <w:szCs w:val="16"/>
              </w:rPr>
              <w:t>e</w:t>
            </w:r>
            <w:r w:rsidRPr="00DD2742">
              <w:rPr>
                <w:sz w:val="16"/>
                <w:szCs w:val="16"/>
              </w:rPr>
              <w:t>g</w:t>
            </w:r>
            <w:r w:rsidRPr="00DD2742">
              <w:rPr>
                <w:sz w:val="16"/>
                <w:szCs w:val="16"/>
              </w:rPr>
              <w:t>i</w:t>
            </w:r>
            <w:r w:rsidRPr="00DD2742">
              <w:rPr>
                <w:sz w:val="16"/>
                <w:szCs w:val="16"/>
              </w:rPr>
              <w:t>o</w:t>
            </w:r>
            <w:r w:rsidRPr="00DD2742">
              <w:rPr>
                <w:sz w:val="16"/>
                <w:szCs w:val="16"/>
              </w:rPr>
              <w:t>n</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L</w:t>
            </w:r>
            <w:r w:rsidRPr="00DD2742">
              <w:rPr>
                <w:sz w:val="16"/>
                <w:szCs w:val="16"/>
              </w:rPr>
              <w:t>e</w:t>
            </w:r>
            <w:r w:rsidRPr="00DD2742">
              <w:rPr>
                <w:sz w:val="16"/>
                <w:szCs w:val="16"/>
              </w:rPr>
              <w:t>s</w:t>
            </w:r>
            <w:r w:rsidRPr="00DD2742">
              <w:rPr>
                <w:sz w:val="16"/>
                <w:szCs w:val="16"/>
              </w:rPr>
              <w:t>s</w:t>
            </w:r>
            <w:r w:rsidRPr="00DD2742">
              <w:rPr>
                <w:sz w:val="16"/>
                <w:szCs w:val="16"/>
              </w:rPr>
              <w:t xml:space="preserve"> </w:t>
            </w:r>
            <w:r w:rsidRPr="00DD2742">
              <w:rPr>
                <w:sz w:val="16"/>
                <w:szCs w:val="16"/>
              </w:rPr>
              <w:t>d</w:t>
            </w:r>
            <w:r w:rsidRPr="00DD2742">
              <w:rPr>
                <w:sz w:val="16"/>
                <w:szCs w:val="16"/>
              </w:rPr>
              <w:t>e</w:t>
            </w:r>
            <w:r w:rsidRPr="00DD2742">
              <w:rPr>
                <w:sz w:val="16"/>
                <w:szCs w:val="16"/>
              </w:rPr>
              <w:t>v</w:t>
            </w:r>
            <w:r w:rsidRPr="00DD2742">
              <w:rPr>
                <w:sz w:val="16"/>
                <w:szCs w:val="16"/>
              </w:rPr>
              <w:t>e</w:t>
            </w:r>
            <w:r w:rsidRPr="00DD2742">
              <w:rPr>
                <w:sz w:val="16"/>
                <w:szCs w:val="16"/>
              </w:rPr>
              <w:t>l</w:t>
            </w:r>
            <w:r w:rsidRPr="00DD2742">
              <w:rPr>
                <w:sz w:val="16"/>
                <w:szCs w:val="16"/>
              </w:rPr>
              <w:t>o</w:t>
            </w:r>
            <w:r w:rsidRPr="00DD2742">
              <w:rPr>
                <w:sz w:val="16"/>
                <w:szCs w:val="16"/>
              </w:rPr>
              <w:t>p</w:t>
            </w:r>
            <w:r w:rsidRPr="00DD2742">
              <w:rPr>
                <w:sz w:val="16"/>
                <w:szCs w:val="16"/>
              </w:rPr>
              <w:t>e</w:t>
            </w:r>
            <w:r w:rsidRPr="00DD2742">
              <w:rPr>
                <w:sz w:val="16"/>
                <w:szCs w:val="16"/>
              </w:rPr>
              <w:t>d</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 xml:space="preserve"> </w:t>
            </w:r>
            <w:r w:rsidRPr="00DD2742">
              <w:rPr>
                <w:sz w:val="16"/>
                <w:szCs w:val="16"/>
              </w:rPr>
              <w:t>a</w:t>
            </w:r>
            <w:r w:rsidRPr="00DD2742">
              <w:rPr>
                <w:sz w:val="16"/>
                <w:szCs w:val="16"/>
              </w:rPr>
              <w:t>n</w:t>
            </w:r>
            <w:r w:rsidRPr="00DD2742">
              <w:rPr>
                <w:sz w:val="16"/>
                <w:szCs w:val="16"/>
              </w:rPr>
              <w:t>d</w:t>
            </w:r>
            <w:r w:rsidRPr="00DD2742">
              <w:rPr>
                <w:sz w:val="16"/>
                <w:szCs w:val="16"/>
              </w:rPr>
              <w:t xml:space="preserve"> </w:t>
            </w:r>
            <w:r w:rsidRPr="00DD2742">
              <w:rPr>
                <w:sz w:val="16"/>
                <w:szCs w:val="16"/>
              </w:rPr>
              <w:t>p</w:t>
            </w:r>
            <w:r w:rsidRPr="00DD2742">
              <w:rPr>
                <w:sz w:val="16"/>
                <w:szCs w:val="16"/>
              </w:rPr>
              <w:t>e</w:t>
            </w:r>
            <w:r w:rsidRPr="00DD2742">
              <w:rPr>
                <w:sz w:val="16"/>
                <w:szCs w:val="16"/>
              </w:rPr>
              <w:t>r</w:t>
            </w:r>
            <w:r w:rsidRPr="00DD2742">
              <w:rPr>
                <w:sz w:val="16"/>
                <w:szCs w:val="16"/>
              </w:rPr>
              <w:t xml:space="preserve"> </w:t>
            </w:r>
            <w:r w:rsidRPr="00DD2742">
              <w:rPr>
                <w:sz w:val="16"/>
                <w:szCs w:val="16"/>
              </w:rPr>
              <w:t>y</w:t>
            </w:r>
            <w:r w:rsidRPr="00DD2742">
              <w:rPr>
                <w:sz w:val="16"/>
                <w:szCs w:val="16"/>
              </w:rPr>
              <w:t>e</w:t>
            </w:r>
            <w:r w:rsidRPr="00DD2742">
              <w:rPr>
                <w:sz w:val="16"/>
                <w:szCs w:val="16"/>
              </w:rPr>
              <w:t>a</w:t>
            </w:r>
            <w:r w:rsidRPr="00DD2742">
              <w:rPr>
                <w:sz w:val="16"/>
                <w:szCs w:val="16"/>
              </w:rPr>
              <w:t>r</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2</w:t>
            </w:r>
            <w:r w:rsidRPr="00DD2742">
              <w:rPr>
                <w:sz w:val="16"/>
                <w:szCs w:val="16"/>
              </w:rPr>
              <w:t>0</w:t>
            </w:r>
            <w:r w:rsidRPr="00DD2742">
              <w:rPr>
                <w:sz w:val="16"/>
                <w:szCs w:val="16"/>
              </w:rPr>
              <w:t>2</w:t>
            </w:r>
            <w:r w:rsidRPr="00DD2742">
              <w:rPr>
                <w:sz w:val="16"/>
                <w:szCs w:val="16"/>
              </w:rPr>
              <w:t>0</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m</w:t>
            </w:r>
            <w:r w:rsidRPr="00DD2742">
              <w:rPr>
                <w:sz w:val="16"/>
                <w:szCs w:val="16"/>
              </w:rPr>
              <w:t>u</w:t>
            </w:r>
            <w:r w:rsidRPr="00DD2742">
              <w:rPr>
                <w:sz w:val="16"/>
                <w:szCs w:val="16"/>
              </w:rPr>
              <w:t>s</w:t>
            </w:r>
            <w:r w:rsidRPr="00DD2742">
              <w:rPr>
                <w:sz w:val="16"/>
                <w:szCs w:val="16"/>
              </w:rPr>
              <w:t>t</w:t>
            </w:r>
            <w:r w:rsidRPr="00DD2742">
              <w:rPr>
                <w:sz w:val="16"/>
                <w:szCs w:val="16"/>
              </w:rPr>
              <w:t xml:space="preserve"> </w:t>
            </w:r>
            <w:r w:rsidRPr="00DD2742">
              <w:rPr>
                <w:sz w:val="16"/>
                <w:szCs w:val="16"/>
              </w:rPr>
              <w:t>b</w:t>
            </w:r>
            <w:r w:rsidRPr="00DD2742">
              <w:rPr>
                <w:sz w:val="16"/>
                <w:szCs w:val="16"/>
              </w:rPr>
              <w:t>e</w:t>
            </w:r>
            <w:r w:rsidRPr="00DD2742">
              <w:rPr>
                <w:sz w:val="16"/>
                <w:szCs w:val="16"/>
              </w:rPr>
              <w:t xml:space="preserve"> </w:t>
            </w:r>
            <w:r w:rsidRPr="00DD2742">
              <w:rPr>
                <w:sz w:val="16"/>
                <w:szCs w:val="16"/>
              </w:rPr>
              <w:t>s</w:t>
            </w:r>
            <w:r w:rsidRPr="00DD2742">
              <w:rPr>
                <w:sz w:val="16"/>
                <w:szCs w:val="16"/>
              </w:rPr>
              <w:t>m</w:t>
            </w:r>
            <w:r w:rsidRPr="00DD2742">
              <w:rPr>
                <w:sz w:val="16"/>
                <w:szCs w:val="16"/>
              </w:rPr>
              <w:t>a</w:t>
            </w:r>
            <w:r w:rsidRPr="00DD2742">
              <w:rPr>
                <w:sz w:val="16"/>
                <w:szCs w:val="16"/>
              </w:rPr>
              <w:t>l</w:t>
            </w:r>
            <w:r w:rsidRPr="00DD2742">
              <w:rPr>
                <w:sz w:val="16"/>
                <w:szCs w:val="16"/>
              </w:rPr>
              <w:t>l</w:t>
            </w:r>
            <w:r w:rsidRPr="00DD2742">
              <w:rPr>
                <w:sz w:val="16"/>
                <w:szCs w:val="16"/>
              </w:rPr>
              <w:t>e</w:t>
            </w:r>
            <w:r w:rsidRPr="00DD2742">
              <w:rPr>
                <w:sz w:val="16"/>
                <w:szCs w:val="16"/>
              </w:rPr>
              <w:t>r</w:t>
            </w:r>
            <w:r w:rsidRPr="00DD2742">
              <w:rPr>
                <w:sz w:val="16"/>
                <w:szCs w:val="16"/>
              </w:rPr>
              <w:t xml:space="preserve"> </w:t>
            </w:r>
            <w:r w:rsidRPr="00DD2742">
              <w:rPr>
                <w:sz w:val="16"/>
                <w:szCs w:val="16"/>
              </w:rPr>
              <w:t>o</w:t>
            </w:r>
            <w:r w:rsidRPr="00DD2742">
              <w:rPr>
                <w:sz w:val="16"/>
                <w:szCs w:val="16"/>
              </w:rPr>
              <w:t>r</w:t>
            </w:r>
            <w:r w:rsidRPr="00DD2742">
              <w:rPr>
                <w:sz w:val="16"/>
                <w:szCs w:val="16"/>
              </w:rPr>
              <w:t xml:space="preserve"> </w:t>
            </w:r>
            <w:r w:rsidRPr="00DD2742">
              <w:rPr>
                <w:sz w:val="16"/>
                <w:szCs w:val="16"/>
              </w:rPr>
              <w:t>e</w:t>
            </w:r>
            <w:r w:rsidRPr="00DD2742">
              <w:rPr>
                <w:sz w:val="16"/>
                <w:szCs w:val="16"/>
              </w:rPr>
              <w:t>q</w:t>
            </w:r>
            <w:r w:rsidRPr="00DD2742">
              <w:rPr>
                <w:sz w:val="16"/>
                <w:szCs w:val="16"/>
              </w:rPr>
              <w:t>u</w:t>
            </w:r>
            <w:r w:rsidRPr="00DD2742">
              <w:rPr>
                <w:sz w:val="16"/>
                <w:szCs w:val="16"/>
              </w:rPr>
              <w:t>a</w:t>
            </w:r>
            <w:r w:rsidRPr="00DD2742">
              <w:rPr>
                <w:sz w:val="16"/>
                <w:szCs w:val="16"/>
              </w:rPr>
              <w:t>l</w:t>
            </w:r>
            <w:r w:rsidRPr="00DD2742">
              <w:rPr>
                <w:sz w:val="16"/>
                <w:szCs w:val="16"/>
              </w:rPr>
              <w:t xml:space="preserve"> </w:t>
            </w:r>
            <w:r w:rsidRPr="00DD2742">
              <w:rPr>
                <w:sz w:val="16"/>
                <w:szCs w:val="16"/>
              </w:rPr>
              <w:t>t</w:t>
            </w:r>
            <w:r w:rsidRPr="00DD2742">
              <w:rPr>
                <w:sz w:val="16"/>
                <w:szCs w:val="16"/>
              </w:rPr>
              <w:t>h</w:t>
            </w:r>
            <w:r w:rsidRPr="00DD2742">
              <w:rPr>
                <w:sz w:val="16"/>
                <w:szCs w:val="16"/>
              </w:rPr>
              <w:t>a</w:t>
            </w:r>
            <w:r w:rsidRPr="00DD2742">
              <w:rPr>
                <w:sz w:val="16"/>
                <w:szCs w:val="16"/>
              </w:rPr>
              <w:t>n</w:t>
            </w:r>
            <w:r w:rsidRPr="00DD2742">
              <w:rPr>
                <w:sz w:val="16"/>
                <w:szCs w:val="16"/>
              </w:rPr>
              <w:t xml:space="preserve"> </w:t>
            </w:r>
            <w:r w:rsidRPr="00DD2742">
              <w:rPr>
                <w:sz w:val="16"/>
                <w:szCs w:val="16"/>
              </w:rPr>
              <w:t>t</w:t>
            </w:r>
            <w:r w:rsidRPr="00DD2742">
              <w:rPr>
                <w:sz w:val="16"/>
                <w:szCs w:val="16"/>
              </w:rPr>
              <w:t>h</w:t>
            </w:r>
            <w:r w:rsidRPr="00DD2742">
              <w:rPr>
                <w:sz w:val="16"/>
                <w:szCs w:val="16"/>
              </w:rPr>
              <w:t>e</w:t>
            </w:r>
            <w:r w:rsidRPr="00DD2742">
              <w:rPr>
                <w:sz w:val="16"/>
                <w:szCs w:val="16"/>
              </w:rPr>
              <w:t xml:space="preserve"> </w:t>
            </w:r>
            <w:r w:rsidRPr="00DD2742">
              <w:rPr>
                <w:sz w:val="16"/>
                <w:szCs w:val="16"/>
              </w:rPr>
              <w:t>c</w:t>
            </w:r>
            <w:r w:rsidRPr="00DD2742">
              <w:rPr>
                <w:sz w:val="16"/>
                <w:szCs w:val="16"/>
              </w:rPr>
              <w:t>o</w:t>
            </w:r>
            <w:r w:rsidRPr="00DD2742">
              <w:rPr>
                <w:sz w:val="16"/>
                <w:szCs w:val="16"/>
              </w:rPr>
              <w:t>r</w:t>
            </w:r>
            <w:r w:rsidRPr="00DD2742">
              <w:rPr>
                <w:sz w:val="16"/>
                <w:szCs w:val="16"/>
              </w:rPr>
              <w:t>r</w:t>
            </w:r>
            <w:r w:rsidRPr="00DD2742">
              <w:rPr>
                <w:sz w:val="16"/>
                <w:szCs w:val="16"/>
              </w:rPr>
              <w:t>e</w:t>
            </w:r>
            <w:r w:rsidRPr="00DD2742">
              <w:rPr>
                <w:sz w:val="16"/>
                <w:szCs w:val="16"/>
              </w:rPr>
              <w:t>s</w:t>
            </w:r>
            <w:r w:rsidRPr="00DD2742">
              <w:rPr>
                <w:sz w:val="16"/>
                <w:szCs w:val="16"/>
              </w:rPr>
              <w:t>p</w:t>
            </w:r>
            <w:r w:rsidRPr="00DD2742">
              <w:rPr>
                <w:sz w:val="16"/>
                <w:szCs w:val="16"/>
              </w:rPr>
              <w:t>o</w:t>
            </w:r>
            <w:r w:rsidRPr="00DD2742">
              <w:rPr>
                <w:sz w:val="16"/>
                <w:szCs w:val="16"/>
              </w:rPr>
              <w:t>n</w:t>
            </w:r>
            <w:r w:rsidRPr="00DD2742">
              <w:rPr>
                <w:sz w:val="16"/>
                <w:szCs w:val="16"/>
              </w:rPr>
              <w:t>d</w:t>
            </w:r>
            <w:r w:rsidRPr="00DD2742">
              <w:rPr>
                <w:sz w:val="16"/>
                <w:szCs w:val="16"/>
              </w:rPr>
              <w:t>i</w:t>
            </w:r>
            <w:r w:rsidRPr="00DD2742">
              <w:rPr>
                <w:sz w:val="16"/>
                <w:szCs w:val="16"/>
              </w:rPr>
              <w:t>n</w:t>
            </w:r>
            <w:r w:rsidRPr="00DD2742">
              <w:rPr>
                <w:sz w:val="16"/>
                <w:szCs w:val="16"/>
              </w:rPr>
              <w:t>g</w:t>
            </w:r>
            <w:r w:rsidRPr="00DD2742">
              <w:rPr>
                <w:sz w:val="16"/>
                <w:szCs w:val="16"/>
              </w:rPr>
              <w:t xml:space="preserve"> </w:t>
            </w:r>
            <w:r w:rsidRPr="00DD2742">
              <w:rPr>
                <w:sz w:val="16"/>
                <w:szCs w:val="16"/>
              </w:rPr>
              <w:t>a</w:t>
            </w:r>
            <w:r w:rsidRPr="00DD2742">
              <w:rPr>
                <w:sz w:val="16"/>
                <w:szCs w:val="16"/>
              </w:rPr>
              <w:t>n</w:t>
            </w:r>
            <w:r w:rsidRPr="00DD2742">
              <w:rPr>
                <w:sz w:val="16"/>
                <w:szCs w:val="16"/>
              </w:rPr>
              <w:t>n</w:t>
            </w:r>
            <w:r w:rsidRPr="00DD2742">
              <w:rPr>
                <w:sz w:val="16"/>
                <w:szCs w:val="16"/>
              </w:rPr>
              <w:t>u</w:t>
            </w:r>
            <w:r w:rsidRPr="00DD2742">
              <w:rPr>
                <w:sz w:val="16"/>
                <w:szCs w:val="16"/>
              </w:rPr>
              <w:t>a</w:t>
            </w:r>
            <w:r w:rsidRPr="00DD2742">
              <w:rPr>
                <w:sz w:val="16"/>
                <w:szCs w:val="16"/>
              </w:rPr>
              <w:t>l</w:t>
            </w:r>
            <w:r w:rsidRPr="00DD2742">
              <w:rPr>
                <w:sz w:val="16"/>
                <w:szCs w:val="16"/>
              </w:rPr>
              <w:t xml:space="preserve"> </w:t>
            </w:r>
            <w:r w:rsidRPr="00DD2742">
              <w:rPr>
                <w:sz w:val="16"/>
                <w:szCs w:val="16"/>
              </w:rPr>
              <w:t>E</w:t>
            </w:r>
            <w:r w:rsidRPr="00DD2742">
              <w:rPr>
                <w:sz w:val="16"/>
                <w:szCs w:val="16"/>
              </w:rPr>
              <w:t>U</w:t>
            </w:r>
            <w:r w:rsidRPr="00DD2742">
              <w:rPr>
                <w:sz w:val="16"/>
                <w:szCs w:val="16"/>
              </w:rPr>
              <w:t xml:space="preserve"> </w:t>
            </w:r>
            <w:r w:rsidRPr="00DD2742">
              <w:rPr>
                <w:sz w:val="16"/>
                <w:szCs w:val="16"/>
              </w:rPr>
              <w:t>S</w:t>
            </w:r>
            <w:r w:rsidRPr="00DD2742">
              <w:rPr>
                <w:sz w:val="16"/>
                <w:szCs w:val="16"/>
              </w:rPr>
              <w:t>u</w:t>
            </w:r>
            <w:r w:rsidRPr="00DD2742">
              <w:rPr>
                <w:sz w:val="16"/>
                <w:szCs w:val="16"/>
              </w:rPr>
              <w:t>p</w:t>
            </w:r>
            <w:r w:rsidRPr="00DD2742">
              <w:rPr>
                <w:sz w:val="16"/>
                <w:szCs w:val="16"/>
              </w:rPr>
              <w:t>p</w:t>
            </w:r>
            <w:r w:rsidRPr="00DD2742">
              <w:rPr>
                <w:sz w:val="16"/>
                <w:szCs w:val="16"/>
              </w:rPr>
              <w:t>o</w:t>
            </w:r>
            <w:r w:rsidRPr="00DD2742">
              <w:rPr>
                <w:sz w:val="16"/>
                <w:szCs w:val="16"/>
              </w:rPr>
              <w:t>r</w:t>
            </w:r>
            <w:r w:rsidRPr="00DD2742">
              <w:rPr>
                <w:sz w:val="16"/>
                <w:szCs w:val="16"/>
              </w:rPr>
              <w:t>t</w:t>
            </w:r>
            <w:r w:rsidRPr="00DD2742">
              <w:rPr>
                <w:sz w:val="16"/>
                <w:szCs w:val="16"/>
              </w:rPr>
              <w:t xml:space="preserve"> </w:t>
            </w:r>
            <w:r w:rsidRPr="00DD2742">
              <w:rPr>
                <w:sz w:val="16"/>
                <w:szCs w:val="16"/>
              </w:rPr>
              <w:t>s</w:t>
            </w:r>
            <w:r w:rsidRPr="00DD2742">
              <w:rPr>
                <w:sz w:val="16"/>
                <w:szCs w:val="16"/>
              </w:rPr>
              <w:t>p</w:t>
            </w:r>
            <w:r w:rsidRPr="00DD2742">
              <w:rPr>
                <w:sz w:val="16"/>
                <w:szCs w:val="16"/>
              </w:rPr>
              <w:t>e</w:t>
            </w:r>
            <w:r w:rsidRPr="00DD2742">
              <w:rPr>
                <w:sz w:val="16"/>
                <w:szCs w:val="16"/>
              </w:rPr>
              <w:t>c</w:t>
            </w:r>
            <w:r w:rsidRPr="00DD2742">
              <w:rPr>
                <w:sz w:val="16"/>
                <w:szCs w:val="16"/>
              </w:rPr>
              <w:t>i</w:t>
            </w:r>
            <w:r w:rsidRPr="00DD2742">
              <w:rPr>
                <w:sz w:val="16"/>
                <w:szCs w:val="16"/>
              </w:rPr>
              <w:t>f</w:t>
            </w:r>
            <w:r w:rsidRPr="00DD2742">
              <w:rPr>
                <w:sz w:val="16"/>
                <w:szCs w:val="16"/>
              </w:rPr>
              <w:t>i</w:t>
            </w:r>
            <w:r w:rsidRPr="00DD2742">
              <w:rPr>
                <w:sz w:val="16"/>
                <w:szCs w:val="16"/>
              </w:rPr>
              <w:t>e</w:t>
            </w:r>
            <w:r w:rsidRPr="00DD2742">
              <w:rPr>
                <w:sz w:val="16"/>
                <w:szCs w:val="16"/>
              </w:rPr>
              <w:t>d</w:t>
            </w:r>
            <w:r w:rsidRPr="00DD2742">
              <w:rPr>
                <w:sz w:val="16"/>
                <w:szCs w:val="16"/>
              </w:rPr>
              <w:t xml:space="preserve"> </w:t>
            </w:r>
            <w:r w:rsidRPr="00DD2742">
              <w:rPr>
                <w:sz w:val="16"/>
                <w:szCs w:val="16"/>
              </w:rPr>
              <w:t>i</w:t>
            </w:r>
            <w:r w:rsidRPr="00DD2742">
              <w:rPr>
                <w:sz w:val="16"/>
                <w:szCs w:val="16"/>
              </w:rPr>
              <w:t>n</w:t>
            </w:r>
            <w:r w:rsidRPr="00DD2742">
              <w:rPr>
                <w:sz w:val="16"/>
                <w:szCs w:val="16"/>
              </w:rPr>
              <w:t xml:space="preserve"> </w:t>
            </w:r>
            <w:r w:rsidRPr="00DD2742">
              <w:rPr>
                <w:sz w:val="16"/>
                <w:szCs w:val="16"/>
              </w:rPr>
              <w:t>t</w:t>
            </w:r>
            <w:r w:rsidRPr="00DD2742">
              <w:rPr>
                <w:sz w:val="16"/>
                <w:szCs w:val="16"/>
              </w:rPr>
              <w:t>h</w:t>
            </w:r>
            <w:r w:rsidRPr="00DD2742">
              <w:rPr>
                <w:sz w:val="16"/>
                <w:szCs w:val="16"/>
              </w:rPr>
              <w:t>e</w:t>
            </w:r>
            <w:r w:rsidRPr="00DD2742">
              <w:rPr>
                <w:sz w:val="16"/>
                <w:szCs w:val="16"/>
              </w:rPr>
              <w:t xml:space="preserve"> </w:t>
            </w:r>
            <w:r w:rsidRPr="00DD2742">
              <w:rPr>
                <w:sz w:val="16"/>
                <w:szCs w:val="16"/>
              </w:rPr>
              <w:t>F</w:t>
            </w:r>
            <w:r w:rsidRPr="00DD2742">
              <w:rPr>
                <w:sz w:val="16"/>
                <w:szCs w:val="16"/>
              </w:rPr>
              <w:t>i</w:t>
            </w:r>
            <w:r w:rsidRPr="00DD2742">
              <w:rPr>
                <w:sz w:val="16"/>
                <w:szCs w:val="16"/>
              </w:rPr>
              <w:t>n</w:t>
            </w:r>
            <w:r w:rsidRPr="00DD2742">
              <w:rPr>
                <w:sz w:val="16"/>
                <w:szCs w:val="16"/>
              </w:rPr>
              <w:t>a</w:t>
            </w:r>
            <w:r w:rsidRPr="00DD2742">
              <w:rPr>
                <w:sz w:val="16"/>
                <w:szCs w:val="16"/>
              </w:rPr>
              <w:t>n</w:t>
            </w:r>
            <w:r w:rsidRPr="00DD2742">
              <w:rPr>
                <w:sz w:val="16"/>
                <w:szCs w:val="16"/>
              </w:rPr>
              <w:t>c</w:t>
            </w:r>
            <w:r w:rsidRPr="00DD2742">
              <w:rPr>
                <w:sz w:val="16"/>
                <w:szCs w:val="16"/>
              </w:rPr>
              <w:t>i</w:t>
            </w:r>
            <w:r w:rsidRPr="00DD2742">
              <w:rPr>
                <w:sz w:val="16"/>
                <w:szCs w:val="16"/>
              </w:rPr>
              <w:t>a</w:t>
            </w:r>
            <w:r w:rsidRPr="00DD2742">
              <w:rPr>
                <w:sz w:val="16"/>
                <w:szCs w:val="16"/>
              </w:rPr>
              <w:t>l</w:t>
            </w:r>
            <w:r w:rsidRPr="00DD2742">
              <w:rPr>
                <w:sz w:val="16"/>
                <w:szCs w:val="16"/>
              </w:rPr>
              <w:t xml:space="preserve"> </w:t>
            </w:r>
            <w:r w:rsidRPr="00DD2742">
              <w:rPr>
                <w:sz w:val="16"/>
                <w:szCs w:val="16"/>
              </w:rPr>
              <w:t>P</w:t>
            </w:r>
            <w:r w:rsidRPr="00DD2742">
              <w:rPr>
                <w:sz w:val="16"/>
                <w:szCs w:val="16"/>
              </w:rPr>
              <w:t>e</w:t>
            </w:r>
            <w:r w:rsidRPr="00DD2742">
              <w:rPr>
                <w:sz w:val="16"/>
                <w:szCs w:val="16"/>
              </w:rPr>
              <w:t>r</w:t>
            </w:r>
            <w:r w:rsidRPr="00DD2742">
              <w:rPr>
                <w:sz w:val="16"/>
                <w:szCs w:val="16"/>
              </w:rPr>
              <w:t>s</w:t>
            </w:r>
            <w:r w:rsidRPr="00DD2742">
              <w:rPr>
                <w:sz w:val="16"/>
                <w:szCs w:val="16"/>
              </w:rPr>
              <w:t>p</w:t>
            </w:r>
            <w:r w:rsidRPr="00DD2742">
              <w:rPr>
                <w:sz w:val="16"/>
                <w:szCs w:val="16"/>
              </w:rPr>
              <w:t>e</w:t>
            </w:r>
            <w:r w:rsidRPr="00DD2742">
              <w:rPr>
                <w:sz w:val="16"/>
                <w:szCs w:val="16"/>
              </w:rPr>
              <w:t>c</w:t>
            </w:r>
            <w:r w:rsidRPr="00DD2742">
              <w:rPr>
                <w:sz w:val="16"/>
                <w:szCs w:val="16"/>
              </w:rPr>
              <w:t>t</w:t>
            </w:r>
            <w:r w:rsidRPr="00DD2742">
              <w:rPr>
                <w:sz w:val="16"/>
                <w:szCs w:val="16"/>
              </w:rPr>
              <w:t>i</w:t>
            </w:r>
            <w:r w:rsidRPr="00DD2742">
              <w:rPr>
                <w:sz w:val="16"/>
                <w:szCs w:val="16"/>
              </w:rPr>
              <w:t>v</w:t>
            </w:r>
            <w:r w:rsidRPr="00DD2742">
              <w:rPr>
                <w:sz w:val="16"/>
                <w:szCs w:val="16"/>
              </w:rPr>
              <w:t>e</w:t>
            </w:r>
            <w:r w:rsidRPr="00DD2742">
              <w:rPr>
                <w:sz w:val="16"/>
                <w:szCs w:val="16"/>
              </w:rPr>
              <w:t>s</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2</w:t>
            </w:r>
            <w:r w:rsidRPr="00DD2742">
              <w:rPr>
                <w:sz w:val="16"/>
                <w:szCs w:val="16"/>
              </w:rPr>
              <w:t>,</w:t>
            </w:r>
            <w:r w:rsidRPr="00DD2742">
              <w:rPr>
                <w:sz w:val="16"/>
                <w:szCs w:val="16"/>
              </w:rPr>
              <w:t>5</w:t>
            </w:r>
            <w:r w:rsidRPr="00DD2742">
              <w:rPr>
                <w:sz w:val="16"/>
                <w:szCs w:val="16"/>
              </w:rPr>
              <w:t>8</w:t>
            </w:r>
            <w:r w:rsidRPr="00DD2742">
              <w:rPr>
                <w:sz w:val="16"/>
                <w:szCs w:val="16"/>
              </w:rPr>
              <w:t>1</w:t>
            </w:r>
            <w:r w:rsidRPr="00DD2742">
              <w:rPr>
                <w:sz w:val="16"/>
                <w:szCs w:val="16"/>
              </w:rPr>
              <w:t>,</w:t>
            </w:r>
            <w:r w:rsidRPr="00DD2742">
              <w:rPr>
                <w:sz w:val="16"/>
                <w:szCs w:val="16"/>
              </w:rPr>
              <w:t>1</w:t>
            </w:r>
            <w:r w:rsidRPr="00DD2742">
              <w:rPr>
                <w:sz w:val="16"/>
                <w:szCs w:val="16"/>
              </w:rPr>
              <w:t>3</w:t>
            </w:r>
            <w:r w:rsidRPr="00DD2742">
              <w:rPr>
                <w:sz w:val="16"/>
                <w:szCs w:val="16"/>
              </w:rPr>
              <w:t>4</w:t>
            </w:r>
            <w:r w:rsidRPr="00DD2742">
              <w:rPr>
                <w:sz w:val="16"/>
                <w:szCs w:val="16"/>
              </w:rPr>
              <w:t>,</w:t>
            </w:r>
            <w:r w:rsidRPr="00DD2742">
              <w:rPr>
                <w:sz w:val="16"/>
                <w:szCs w:val="16"/>
              </w:rPr>
              <w:t>6</w:t>
            </w:r>
            <w:r w:rsidRPr="00DD2742">
              <w:rPr>
                <w:sz w:val="16"/>
                <w:szCs w:val="16"/>
              </w:rPr>
              <w:t>3</w:t>
            </w:r>
            <w:r w:rsidRPr="00DD2742">
              <w:rPr>
                <w:sz w:val="16"/>
                <w:szCs w:val="16"/>
              </w:rPr>
              <w:t>0</w:t>
            </w:r>
            <w:r w:rsidRPr="00DD2742">
              <w:rPr>
                <w:sz w:val="16"/>
                <w:szCs w:val="16"/>
              </w:rPr>
              <w:t>.</w:t>
            </w:r>
            <w:r w:rsidRPr="00DD2742">
              <w:rPr>
                <w:sz w:val="16"/>
                <w:szCs w:val="16"/>
              </w:rPr>
              <w:t>0</w:t>
            </w:r>
            <w:r w:rsidRPr="00DD2742">
              <w:rPr>
                <w:sz w:val="16"/>
                <w:szCs w:val="16"/>
              </w:rPr>
              <w:t>0</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2</w:t>
            </w:r>
            <w:r w:rsidRPr="00DD2742">
              <w:rPr>
                <w:sz w:val="16"/>
                <w:szCs w:val="16"/>
              </w:rPr>
              <w:t>,</w:t>
            </w:r>
            <w:r w:rsidRPr="00DD2742">
              <w:rPr>
                <w:sz w:val="16"/>
                <w:szCs w:val="16"/>
              </w:rPr>
              <w:t>3</w:t>
            </w:r>
            <w:r w:rsidRPr="00DD2742">
              <w:rPr>
                <w:sz w:val="16"/>
                <w:szCs w:val="16"/>
              </w:rPr>
              <w:t>9</w:t>
            </w:r>
            <w:r w:rsidRPr="00DD2742">
              <w:rPr>
                <w:sz w:val="16"/>
                <w:szCs w:val="16"/>
              </w:rPr>
              <w:t>3</w:t>
            </w:r>
            <w:r w:rsidRPr="00DD2742">
              <w:rPr>
                <w:sz w:val="16"/>
                <w:szCs w:val="16"/>
              </w:rPr>
              <w:t>,</w:t>
            </w:r>
            <w:r w:rsidRPr="00DD2742">
              <w:rPr>
                <w:sz w:val="16"/>
                <w:szCs w:val="16"/>
              </w:rPr>
              <w:t>1</w:t>
            </w:r>
            <w:r w:rsidRPr="00DD2742">
              <w:rPr>
                <w:sz w:val="16"/>
                <w:szCs w:val="16"/>
              </w:rPr>
              <w:t>7</w:t>
            </w:r>
            <w:r w:rsidRPr="00DD2742">
              <w:rPr>
                <w:sz w:val="16"/>
                <w:szCs w:val="16"/>
              </w:rPr>
              <w:t>0</w:t>
            </w:r>
            <w:r w:rsidRPr="00DD2742">
              <w:rPr>
                <w:sz w:val="16"/>
                <w:szCs w:val="16"/>
              </w:rPr>
              <w:t>,</w:t>
            </w:r>
            <w:r w:rsidRPr="00DD2742">
              <w:rPr>
                <w:sz w:val="16"/>
                <w:szCs w:val="16"/>
              </w:rPr>
              <w:t>3</w:t>
            </w:r>
            <w:r w:rsidRPr="00DD2742">
              <w:rPr>
                <w:sz w:val="16"/>
                <w:szCs w:val="16"/>
              </w:rPr>
              <w:t>1</w:t>
            </w:r>
            <w:r w:rsidRPr="00DD2742">
              <w:rPr>
                <w:sz w:val="16"/>
                <w:szCs w:val="16"/>
              </w:rPr>
              <w:t>6</w:t>
            </w:r>
            <w:r w:rsidRPr="00DD2742">
              <w:rPr>
                <w:sz w:val="16"/>
                <w:szCs w:val="16"/>
              </w:rPr>
              <w:t>.</w:t>
            </w:r>
            <w:r w:rsidRPr="00DD2742">
              <w:rPr>
                <w:sz w:val="16"/>
                <w:szCs w:val="16"/>
              </w:rPr>
              <w:t>0</w:t>
            </w:r>
            <w:r w:rsidRPr="00DD2742">
              <w:rPr>
                <w:sz w:val="16"/>
                <w:szCs w:val="16"/>
              </w:rPr>
              <w:t>0</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Warning</w:t>
            </w:r>
          </w:p>
        </w:tc>
        <w:tc>
          <w:tcPr>
            <w:shd w:val="clear" w:color="auto" w:fill="auto"/>
          </w:tcPr>
          <w:p w:rsidR="00434D73" w:rsidRPr="00DD2742" w:rsidP="006477CC">
            <w:pPr>
              <w:pStyle w:val="NormalLeft"/>
              <w:spacing w:before="0" w:after="0"/>
              <w:rPr>
                <w:sz w:val="16"/>
                <w:szCs w:val="16"/>
              </w:rPr>
            </w:pPr>
            <w:r w:rsidRPr="00DD2742">
              <w:rPr>
                <w:noProof/>
                <w:sz w:val="16"/>
                <w:szCs w:val="16"/>
              </w:rPr>
              <w:t>2.19.3</w:t>
            </w:r>
          </w:p>
        </w:tc>
        <w:tc>
          <w:tcPr>
            <w:shd w:val="clear" w:color="auto" w:fill="auto"/>
          </w:tcPr>
          <w:p w:rsidR="00434D73" w:rsidRPr="00DD2742" w:rsidP="006477CC">
            <w:pPr>
              <w:pStyle w:val="NormalLeft"/>
              <w:spacing w:before="0" w:after="0"/>
              <w:rPr>
                <w:sz w:val="16"/>
                <w:szCs w:val="16"/>
              </w:rPr>
            </w:pPr>
            <w:r w:rsidRPr="00DD2742">
              <w:rPr>
                <w:sz w:val="16"/>
                <w:szCs w:val="16"/>
              </w:rPr>
              <w:t>T</w:t>
            </w:r>
            <w:r w:rsidRPr="00DD2742">
              <w:rPr>
                <w:sz w:val="16"/>
                <w:szCs w:val="16"/>
              </w:rPr>
              <w:t>h</w:t>
            </w:r>
            <w:r w:rsidRPr="00DD2742">
              <w:rPr>
                <w:sz w:val="16"/>
                <w:szCs w:val="16"/>
              </w:rPr>
              <w:t>e</w:t>
            </w:r>
            <w:r w:rsidRPr="00DD2742">
              <w:rPr>
                <w:sz w:val="16"/>
                <w:szCs w:val="16"/>
              </w:rPr>
              <w:t xml:space="preserve"> </w:t>
            </w:r>
            <w:r w:rsidRPr="00DD2742">
              <w:rPr>
                <w:sz w:val="16"/>
                <w:szCs w:val="16"/>
              </w:rPr>
              <w:t>s</w:t>
            </w:r>
            <w:r w:rsidRPr="00DD2742">
              <w:rPr>
                <w:sz w:val="16"/>
                <w:szCs w:val="16"/>
              </w:rPr>
              <w:t>u</w:t>
            </w:r>
            <w:r w:rsidRPr="00DD2742">
              <w:rPr>
                <w:sz w:val="16"/>
                <w:szCs w:val="16"/>
              </w:rPr>
              <w:t>m</w:t>
            </w:r>
            <w:r w:rsidRPr="00DD2742">
              <w:rPr>
                <w:sz w:val="16"/>
                <w:szCs w:val="16"/>
              </w:rPr>
              <w:t xml:space="preserve"> </w:t>
            </w:r>
            <w:r w:rsidRPr="00DD2742">
              <w:rPr>
                <w:sz w:val="16"/>
                <w:szCs w:val="16"/>
              </w:rPr>
              <w:t>o</w:t>
            </w:r>
            <w:r w:rsidRPr="00DD2742">
              <w:rPr>
                <w:sz w:val="16"/>
                <w:szCs w:val="16"/>
              </w:rPr>
              <w:t>f</w:t>
            </w:r>
            <w:r w:rsidRPr="00DD2742">
              <w:rPr>
                <w:sz w:val="16"/>
                <w:szCs w:val="16"/>
              </w:rPr>
              <w:t xml:space="preserve"> </w:t>
            </w:r>
            <w:r w:rsidRPr="00DD2742">
              <w:rPr>
                <w:sz w:val="16"/>
                <w:szCs w:val="16"/>
              </w:rPr>
              <w:t>t</w:t>
            </w:r>
            <w:r w:rsidRPr="00DD2742">
              <w:rPr>
                <w:sz w:val="16"/>
                <w:szCs w:val="16"/>
              </w:rPr>
              <w:t>h</w:t>
            </w:r>
            <w:r w:rsidRPr="00DD2742">
              <w:rPr>
                <w:sz w:val="16"/>
                <w:szCs w:val="16"/>
              </w:rPr>
              <w:t>e</w:t>
            </w:r>
            <w:r w:rsidRPr="00DD2742">
              <w:rPr>
                <w:sz w:val="16"/>
                <w:szCs w:val="16"/>
              </w:rPr>
              <w:t xml:space="preserve"> </w:t>
            </w:r>
            <w:r w:rsidRPr="00DD2742">
              <w:rPr>
                <w:sz w:val="16"/>
                <w:szCs w:val="16"/>
              </w:rPr>
              <w:t>a</w:t>
            </w:r>
            <w:r w:rsidRPr="00DD2742">
              <w:rPr>
                <w:sz w:val="16"/>
                <w:szCs w:val="16"/>
              </w:rPr>
              <w:t>n</w:t>
            </w:r>
            <w:r w:rsidRPr="00DD2742">
              <w:rPr>
                <w:sz w:val="16"/>
                <w:szCs w:val="16"/>
              </w:rPr>
              <w:t>n</w:t>
            </w:r>
            <w:r w:rsidRPr="00DD2742">
              <w:rPr>
                <w:sz w:val="16"/>
                <w:szCs w:val="16"/>
              </w:rPr>
              <w:t>u</w:t>
            </w:r>
            <w:r w:rsidRPr="00DD2742">
              <w:rPr>
                <w:sz w:val="16"/>
                <w:szCs w:val="16"/>
              </w:rPr>
              <w:t>a</w:t>
            </w:r>
            <w:r w:rsidRPr="00DD2742">
              <w:rPr>
                <w:sz w:val="16"/>
                <w:szCs w:val="16"/>
              </w:rPr>
              <w:t>l</w:t>
            </w:r>
            <w:r w:rsidRPr="00DD2742">
              <w:rPr>
                <w:sz w:val="16"/>
                <w:szCs w:val="16"/>
              </w:rPr>
              <w:t xml:space="preserve"> </w:t>
            </w:r>
            <w:r w:rsidRPr="00DD2742">
              <w:rPr>
                <w:sz w:val="16"/>
                <w:szCs w:val="16"/>
              </w:rPr>
              <w:t>E</w:t>
            </w:r>
            <w:r w:rsidRPr="00DD2742">
              <w:rPr>
                <w:sz w:val="16"/>
                <w:szCs w:val="16"/>
              </w:rPr>
              <w:t>U</w:t>
            </w:r>
            <w:r w:rsidRPr="00DD2742">
              <w:rPr>
                <w:sz w:val="16"/>
                <w:szCs w:val="16"/>
              </w:rPr>
              <w:t xml:space="preserve"> </w:t>
            </w:r>
            <w:r w:rsidRPr="00DD2742">
              <w:rPr>
                <w:sz w:val="16"/>
                <w:szCs w:val="16"/>
              </w:rPr>
              <w:t>S</w:t>
            </w:r>
            <w:r w:rsidRPr="00DD2742">
              <w:rPr>
                <w:sz w:val="16"/>
                <w:szCs w:val="16"/>
              </w:rPr>
              <w:t>u</w:t>
            </w:r>
            <w:r w:rsidRPr="00DD2742">
              <w:rPr>
                <w:sz w:val="16"/>
                <w:szCs w:val="16"/>
              </w:rPr>
              <w:t>p</w:t>
            </w:r>
            <w:r w:rsidRPr="00DD2742">
              <w:rPr>
                <w:sz w:val="16"/>
                <w:szCs w:val="16"/>
              </w:rPr>
              <w:t>p</w:t>
            </w:r>
            <w:r w:rsidRPr="00DD2742">
              <w:rPr>
                <w:sz w:val="16"/>
                <w:szCs w:val="16"/>
              </w:rPr>
              <w:t>o</w:t>
            </w:r>
            <w:r w:rsidRPr="00DD2742">
              <w:rPr>
                <w:sz w:val="16"/>
                <w:szCs w:val="16"/>
              </w:rPr>
              <w:t>r</w:t>
            </w:r>
            <w:r w:rsidRPr="00DD2742">
              <w:rPr>
                <w:sz w:val="16"/>
                <w:szCs w:val="16"/>
              </w:rPr>
              <w:t>t</w:t>
            </w:r>
            <w:r w:rsidRPr="00DD2742">
              <w:rPr>
                <w:sz w:val="16"/>
                <w:szCs w:val="16"/>
              </w:rPr>
              <w:t xml:space="preserve"> </w:t>
            </w:r>
            <w:r w:rsidRPr="00DD2742">
              <w:rPr>
                <w:sz w:val="16"/>
                <w:szCs w:val="16"/>
              </w:rPr>
              <w:t>p</w:t>
            </w:r>
            <w:r w:rsidRPr="00DD2742">
              <w:rPr>
                <w:sz w:val="16"/>
                <w:szCs w:val="16"/>
              </w:rPr>
              <w:t>e</w:t>
            </w:r>
            <w:r w:rsidRPr="00DD2742">
              <w:rPr>
                <w:sz w:val="16"/>
                <w:szCs w:val="16"/>
              </w:rPr>
              <w:t>r</w:t>
            </w:r>
            <w:r w:rsidRPr="00DD2742">
              <w:rPr>
                <w:sz w:val="16"/>
                <w:szCs w:val="16"/>
              </w:rPr>
              <w:t xml:space="preserve"> </w:t>
            </w:r>
            <w:r w:rsidRPr="00DD2742">
              <w:rPr>
                <w:sz w:val="16"/>
                <w:szCs w:val="16"/>
              </w:rPr>
              <w:t>c</w:t>
            </w:r>
            <w:r w:rsidRPr="00DD2742">
              <w:rPr>
                <w:sz w:val="16"/>
                <w:szCs w:val="16"/>
              </w:rPr>
              <w:t>a</w:t>
            </w:r>
            <w:r w:rsidRPr="00DD2742">
              <w:rPr>
                <w:sz w:val="16"/>
                <w:szCs w:val="16"/>
              </w:rPr>
              <w:t>t</w:t>
            </w:r>
            <w:r w:rsidRPr="00DD2742">
              <w:rPr>
                <w:sz w:val="16"/>
                <w:szCs w:val="16"/>
              </w:rPr>
              <w:t>e</w:t>
            </w:r>
            <w:r w:rsidRPr="00DD2742">
              <w:rPr>
                <w:sz w:val="16"/>
                <w:szCs w:val="16"/>
              </w:rPr>
              <w:t>g</w:t>
            </w:r>
            <w:r w:rsidRPr="00DD2742">
              <w:rPr>
                <w:sz w:val="16"/>
                <w:szCs w:val="16"/>
              </w:rPr>
              <w:t>o</w:t>
            </w:r>
            <w:r w:rsidRPr="00DD2742">
              <w:rPr>
                <w:sz w:val="16"/>
                <w:szCs w:val="16"/>
              </w:rPr>
              <w:t>r</w:t>
            </w:r>
            <w:r w:rsidRPr="00DD2742">
              <w:rPr>
                <w:sz w:val="16"/>
                <w:szCs w:val="16"/>
              </w:rPr>
              <w:t>y</w:t>
            </w:r>
            <w:r w:rsidRPr="00DD2742">
              <w:rPr>
                <w:sz w:val="16"/>
                <w:szCs w:val="16"/>
              </w:rPr>
              <w:t xml:space="preserve"> </w:t>
            </w:r>
            <w:r w:rsidRPr="00DD2742">
              <w:rPr>
                <w:sz w:val="16"/>
                <w:szCs w:val="16"/>
              </w:rPr>
              <w:t>o</w:t>
            </w:r>
            <w:r w:rsidRPr="00DD2742">
              <w:rPr>
                <w:sz w:val="16"/>
                <w:szCs w:val="16"/>
              </w:rPr>
              <w:t>f</w:t>
            </w:r>
            <w:r w:rsidRPr="00DD2742">
              <w:rPr>
                <w:sz w:val="16"/>
                <w:szCs w:val="16"/>
              </w:rPr>
              <w:t xml:space="preserve"> </w:t>
            </w:r>
            <w:r w:rsidRPr="00DD2742">
              <w:rPr>
                <w:sz w:val="16"/>
                <w:szCs w:val="16"/>
              </w:rPr>
              <w:t>r</w:t>
            </w:r>
            <w:r w:rsidRPr="00DD2742">
              <w:rPr>
                <w:sz w:val="16"/>
                <w:szCs w:val="16"/>
              </w:rPr>
              <w:t>e</w:t>
            </w:r>
            <w:r w:rsidRPr="00DD2742">
              <w:rPr>
                <w:sz w:val="16"/>
                <w:szCs w:val="16"/>
              </w:rPr>
              <w:t>g</w:t>
            </w:r>
            <w:r w:rsidRPr="00DD2742">
              <w:rPr>
                <w:sz w:val="16"/>
                <w:szCs w:val="16"/>
              </w:rPr>
              <w:t>i</w:t>
            </w:r>
            <w:r w:rsidRPr="00DD2742">
              <w:rPr>
                <w:sz w:val="16"/>
                <w:szCs w:val="16"/>
              </w:rPr>
              <w:t>o</w:t>
            </w:r>
            <w:r w:rsidRPr="00DD2742">
              <w:rPr>
                <w:sz w:val="16"/>
                <w:szCs w:val="16"/>
              </w:rPr>
              <w:t>n</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M</w:t>
            </w:r>
            <w:r w:rsidRPr="00DD2742">
              <w:rPr>
                <w:sz w:val="16"/>
                <w:szCs w:val="16"/>
              </w:rPr>
              <w:t>o</w:t>
            </w:r>
            <w:r w:rsidRPr="00DD2742">
              <w:rPr>
                <w:sz w:val="16"/>
                <w:szCs w:val="16"/>
              </w:rPr>
              <w:t>r</w:t>
            </w:r>
            <w:r w:rsidRPr="00DD2742">
              <w:rPr>
                <w:sz w:val="16"/>
                <w:szCs w:val="16"/>
              </w:rPr>
              <w:t>e</w:t>
            </w:r>
            <w:r w:rsidRPr="00DD2742">
              <w:rPr>
                <w:sz w:val="16"/>
                <w:szCs w:val="16"/>
              </w:rPr>
              <w:t xml:space="preserve"> </w:t>
            </w:r>
            <w:r w:rsidRPr="00DD2742">
              <w:rPr>
                <w:sz w:val="16"/>
                <w:szCs w:val="16"/>
              </w:rPr>
              <w:t>d</w:t>
            </w:r>
            <w:r w:rsidRPr="00DD2742">
              <w:rPr>
                <w:sz w:val="16"/>
                <w:szCs w:val="16"/>
              </w:rPr>
              <w:t>e</w:t>
            </w:r>
            <w:r w:rsidRPr="00DD2742">
              <w:rPr>
                <w:sz w:val="16"/>
                <w:szCs w:val="16"/>
              </w:rPr>
              <w:t>v</w:t>
            </w:r>
            <w:r w:rsidRPr="00DD2742">
              <w:rPr>
                <w:sz w:val="16"/>
                <w:szCs w:val="16"/>
              </w:rPr>
              <w:t>e</w:t>
            </w:r>
            <w:r w:rsidRPr="00DD2742">
              <w:rPr>
                <w:sz w:val="16"/>
                <w:szCs w:val="16"/>
              </w:rPr>
              <w:t>l</w:t>
            </w:r>
            <w:r w:rsidRPr="00DD2742">
              <w:rPr>
                <w:sz w:val="16"/>
                <w:szCs w:val="16"/>
              </w:rPr>
              <w:t>o</w:t>
            </w:r>
            <w:r w:rsidRPr="00DD2742">
              <w:rPr>
                <w:sz w:val="16"/>
                <w:szCs w:val="16"/>
              </w:rPr>
              <w:t>p</w:t>
            </w:r>
            <w:r w:rsidRPr="00DD2742">
              <w:rPr>
                <w:sz w:val="16"/>
                <w:szCs w:val="16"/>
              </w:rPr>
              <w:t>e</w:t>
            </w:r>
            <w:r w:rsidRPr="00DD2742">
              <w:rPr>
                <w:sz w:val="16"/>
                <w:szCs w:val="16"/>
              </w:rPr>
              <w:t>d</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 xml:space="preserve"> </w:t>
            </w:r>
            <w:r w:rsidRPr="00DD2742">
              <w:rPr>
                <w:sz w:val="16"/>
                <w:szCs w:val="16"/>
              </w:rPr>
              <w:t>a</w:t>
            </w:r>
            <w:r w:rsidRPr="00DD2742">
              <w:rPr>
                <w:sz w:val="16"/>
                <w:szCs w:val="16"/>
              </w:rPr>
              <w:t>n</w:t>
            </w:r>
            <w:r w:rsidRPr="00DD2742">
              <w:rPr>
                <w:sz w:val="16"/>
                <w:szCs w:val="16"/>
              </w:rPr>
              <w:t>d</w:t>
            </w:r>
            <w:r w:rsidRPr="00DD2742">
              <w:rPr>
                <w:sz w:val="16"/>
                <w:szCs w:val="16"/>
              </w:rPr>
              <w:t xml:space="preserve"> </w:t>
            </w:r>
            <w:r w:rsidRPr="00DD2742">
              <w:rPr>
                <w:sz w:val="16"/>
                <w:szCs w:val="16"/>
              </w:rPr>
              <w:t>p</w:t>
            </w:r>
            <w:r w:rsidRPr="00DD2742">
              <w:rPr>
                <w:sz w:val="16"/>
                <w:szCs w:val="16"/>
              </w:rPr>
              <w:t>e</w:t>
            </w:r>
            <w:r w:rsidRPr="00DD2742">
              <w:rPr>
                <w:sz w:val="16"/>
                <w:szCs w:val="16"/>
              </w:rPr>
              <w:t>r</w:t>
            </w:r>
            <w:r w:rsidRPr="00DD2742">
              <w:rPr>
                <w:sz w:val="16"/>
                <w:szCs w:val="16"/>
              </w:rPr>
              <w:t xml:space="preserve"> </w:t>
            </w:r>
            <w:r w:rsidRPr="00DD2742">
              <w:rPr>
                <w:sz w:val="16"/>
                <w:szCs w:val="16"/>
              </w:rPr>
              <w:t>y</w:t>
            </w:r>
            <w:r w:rsidRPr="00DD2742">
              <w:rPr>
                <w:sz w:val="16"/>
                <w:szCs w:val="16"/>
              </w:rPr>
              <w:t>e</w:t>
            </w:r>
            <w:r w:rsidRPr="00DD2742">
              <w:rPr>
                <w:sz w:val="16"/>
                <w:szCs w:val="16"/>
              </w:rPr>
              <w:t>a</w:t>
            </w:r>
            <w:r w:rsidRPr="00DD2742">
              <w:rPr>
                <w:sz w:val="16"/>
                <w:szCs w:val="16"/>
              </w:rPr>
              <w:t>r</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2</w:t>
            </w:r>
            <w:r w:rsidRPr="00DD2742">
              <w:rPr>
                <w:sz w:val="16"/>
                <w:szCs w:val="16"/>
              </w:rPr>
              <w:t>0</w:t>
            </w:r>
            <w:r w:rsidRPr="00DD2742">
              <w:rPr>
                <w:sz w:val="16"/>
                <w:szCs w:val="16"/>
              </w:rPr>
              <w:t>2</w:t>
            </w:r>
            <w:r w:rsidRPr="00DD2742">
              <w:rPr>
                <w:sz w:val="16"/>
                <w:szCs w:val="16"/>
              </w:rPr>
              <w:t>0</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t>m</w:t>
            </w:r>
            <w:r w:rsidRPr="00DD2742">
              <w:rPr>
                <w:sz w:val="16"/>
                <w:szCs w:val="16"/>
              </w:rPr>
              <w:t>u</w:t>
            </w:r>
            <w:r w:rsidRPr="00DD2742">
              <w:rPr>
                <w:sz w:val="16"/>
                <w:szCs w:val="16"/>
              </w:rPr>
              <w:t>s</w:t>
            </w:r>
            <w:r w:rsidRPr="00DD2742">
              <w:rPr>
                <w:sz w:val="16"/>
                <w:szCs w:val="16"/>
              </w:rPr>
              <w:t>t</w:t>
            </w:r>
            <w:r w:rsidRPr="00DD2742">
              <w:rPr>
                <w:sz w:val="16"/>
                <w:szCs w:val="16"/>
              </w:rPr>
              <w:t xml:space="preserve"> </w:t>
            </w:r>
            <w:r w:rsidRPr="00DD2742">
              <w:rPr>
                <w:sz w:val="16"/>
                <w:szCs w:val="16"/>
              </w:rPr>
              <w:t>b</w:t>
            </w:r>
            <w:r w:rsidRPr="00DD2742">
              <w:rPr>
                <w:sz w:val="16"/>
                <w:szCs w:val="16"/>
              </w:rPr>
              <w:t>e</w:t>
            </w:r>
            <w:r w:rsidRPr="00DD2742">
              <w:rPr>
                <w:sz w:val="16"/>
                <w:szCs w:val="16"/>
              </w:rPr>
              <w:t xml:space="preserve"> </w:t>
            </w:r>
            <w:r w:rsidRPr="00DD2742">
              <w:rPr>
                <w:sz w:val="16"/>
                <w:szCs w:val="16"/>
              </w:rPr>
              <w:t>s</w:t>
            </w:r>
            <w:r w:rsidRPr="00DD2742">
              <w:rPr>
                <w:sz w:val="16"/>
                <w:szCs w:val="16"/>
              </w:rPr>
              <w:t>m</w:t>
            </w:r>
            <w:r w:rsidRPr="00DD2742">
              <w:rPr>
                <w:sz w:val="16"/>
                <w:szCs w:val="16"/>
              </w:rPr>
              <w:t>a</w:t>
            </w:r>
            <w:r w:rsidRPr="00DD2742">
              <w:rPr>
                <w:sz w:val="16"/>
                <w:szCs w:val="16"/>
              </w:rPr>
              <w:t>l</w:t>
            </w:r>
            <w:r w:rsidRPr="00DD2742">
              <w:rPr>
                <w:sz w:val="16"/>
                <w:szCs w:val="16"/>
              </w:rPr>
              <w:t>l</w:t>
            </w:r>
            <w:r w:rsidRPr="00DD2742">
              <w:rPr>
                <w:sz w:val="16"/>
                <w:szCs w:val="16"/>
              </w:rPr>
              <w:t>e</w:t>
            </w:r>
            <w:r w:rsidRPr="00DD2742">
              <w:rPr>
                <w:sz w:val="16"/>
                <w:szCs w:val="16"/>
              </w:rPr>
              <w:t>r</w:t>
            </w:r>
            <w:r w:rsidRPr="00DD2742">
              <w:rPr>
                <w:sz w:val="16"/>
                <w:szCs w:val="16"/>
              </w:rPr>
              <w:t xml:space="preserve"> </w:t>
            </w:r>
            <w:r w:rsidRPr="00DD2742">
              <w:rPr>
                <w:sz w:val="16"/>
                <w:szCs w:val="16"/>
              </w:rPr>
              <w:t>o</w:t>
            </w:r>
            <w:r w:rsidRPr="00DD2742">
              <w:rPr>
                <w:sz w:val="16"/>
                <w:szCs w:val="16"/>
              </w:rPr>
              <w:t>r</w:t>
            </w:r>
            <w:r w:rsidRPr="00DD2742">
              <w:rPr>
                <w:sz w:val="16"/>
                <w:szCs w:val="16"/>
              </w:rPr>
              <w:t xml:space="preserve"> </w:t>
            </w:r>
            <w:r w:rsidRPr="00DD2742">
              <w:rPr>
                <w:sz w:val="16"/>
                <w:szCs w:val="16"/>
              </w:rPr>
              <w:t>e</w:t>
            </w:r>
            <w:r w:rsidRPr="00DD2742">
              <w:rPr>
                <w:sz w:val="16"/>
                <w:szCs w:val="16"/>
              </w:rPr>
              <w:t>q</w:t>
            </w:r>
            <w:r w:rsidRPr="00DD2742">
              <w:rPr>
                <w:sz w:val="16"/>
                <w:szCs w:val="16"/>
              </w:rPr>
              <w:t>u</w:t>
            </w:r>
            <w:r w:rsidRPr="00DD2742">
              <w:rPr>
                <w:sz w:val="16"/>
                <w:szCs w:val="16"/>
              </w:rPr>
              <w:t>a</w:t>
            </w:r>
            <w:r w:rsidRPr="00DD2742">
              <w:rPr>
                <w:sz w:val="16"/>
                <w:szCs w:val="16"/>
              </w:rPr>
              <w:t>l</w:t>
            </w:r>
            <w:r w:rsidRPr="00DD2742">
              <w:rPr>
                <w:sz w:val="16"/>
                <w:szCs w:val="16"/>
              </w:rPr>
              <w:t xml:space="preserve"> </w:t>
            </w:r>
            <w:r w:rsidRPr="00DD2742">
              <w:rPr>
                <w:sz w:val="16"/>
                <w:szCs w:val="16"/>
              </w:rPr>
              <w:t>t</w:t>
            </w:r>
            <w:r w:rsidRPr="00DD2742">
              <w:rPr>
                <w:sz w:val="16"/>
                <w:szCs w:val="16"/>
              </w:rPr>
              <w:t>h</w:t>
            </w:r>
            <w:r w:rsidRPr="00DD2742">
              <w:rPr>
                <w:sz w:val="16"/>
                <w:szCs w:val="16"/>
              </w:rPr>
              <w:t>a</w:t>
            </w:r>
            <w:r w:rsidRPr="00DD2742">
              <w:rPr>
                <w:sz w:val="16"/>
                <w:szCs w:val="16"/>
              </w:rPr>
              <w:t>n</w:t>
            </w:r>
            <w:r w:rsidRPr="00DD2742">
              <w:rPr>
                <w:sz w:val="16"/>
                <w:szCs w:val="16"/>
              </w:rPr>
              <w:t xml:space="preserve"> </w:t>
            </w:r>
            <w:r w:rsidRPr="00DD2742">
              <w:rPr>
                <w:sz w:val="16"/>
                <w:szCs w:val="16"/>
              </w:rPr>
              <w:t>t</w:t>
            </w:r>
            <w:r w:rsidRPr="00DD2742">
              <w:rPr>
                <w:sz w:val="16"/>
                <w:szCs w:val="16"/>
              </w:rPr>
              <w:t>h</w:t>
            </w:r>
            <w:r w:rsidRPr="00DD2742">
              <w:rPr>
                <w:sz w:val="16"/>
                <w:szCs w:val="16"/>
              </w:rPr>
              <w:t>e</w:t>
            </w:r>
            <w:r w:rsidRPr="00DD2742">
              <w:rPr>
                <w:sz w:val="16"/>
                <w:szCs w:val="16"/>
              </w:rPr>
              <w:t xml:space="preserve"> </w:t>
            </w:r>
            <w:r w:rsidRPr="00DD2742">
              <w:rPr>
                <w:sz w:val="16"/>
                <w:szCs w:val="16"/>
              </w:rPr>
              <w:t>c</w:t>
            </w:r>
            <w:r w:rsidRPr="00DD2742">
              <w:rPr>
                <w:sz w:val="16"/>
                <w:szCs w:val="16"/>
              </w:rPr>
              <w:t>o</w:t>
            </w:r>
            <w:r w:rsidRPr="00DD2742">
              <w:rPr>
                <w:sz w:val="16"/>
                <w:szCs w:val="16"/>
              </w:rPr>
              <w:t>r</w:t>
            </w:r>
            <w:r w:rsidRPr="00DD2742">
              <w:rPr>
                <w:sz w:val="16"/>
                <w:szCs w:val="16"/>
              </w:rPr>
              <w:t>r</w:t>
            </w:r>
            <w:r w:rsidRPr="00DD2742">
              <w:rPr>
                <w:sz w:val="16"/>
                <w:szCs w:val="16"/>
              </w:rPr>
              <w:t>e</w:t>
            </w:r>
            <w:r w:rsidRPr="00DD2742">
              <w:rPr>
                <w:sz w:val="16"/>
                <w:szCs w:val="16"/>
              </w:rPr>
              <w:t>s</w:t>
            </w:r>
            <w:r w:rsidRPr="00DD2742">
              <w:rPr>
                <w:sz w:val="16"/>
                <w:szCs w:val="16"/>
              </w:rPr>
              <w:t>p</w:t>
            </w:r>
            <w:r w:rsidRPr="00DD2742">
              <w:rPr>
                <w:sz w:val="16"/>
                <w:szCs w:val="16"/>
              </w:rPr>
              <w:t>o</w:t>
            </w:r>
            <w:r w:rsidRPr="00DD2742">
              <w:rPr>
                <w:sz w:val="16"/>
                <w:szCs w:val="16"/>
              </w:rPr>
              <w:t>n</w:t>
            </w:r>
            <w:r w:rsidRPr="00DD2742">
              <w:rPr>
                <w:sz w:val="16"/>
                <w:szCs w:val="16"/>
              </w:rPr>
              <w:t>d</w:t>
            </w:r>
            <w:r w:rsidRPr="00DD2742">
              <w:rPr>
                <w:sz w:val="16"/>
                <w:szCs w:val="16"/>
              </w:rPr>
              <w:t>i</w:t>
            </w:r>
            <w:r w:rsidRPr="00DD2742">
              <w:rPr>
                <w:sz w:val="16"/>
                <w:szCs w:val="16"/>
              </w:rPr>
              <w:t>n</w:t>
            </w:r>
            <w:r w:rsidRPr="00DD2742">
              <w:rPr>
                <w:sz w:val="16"/>
                <w:szCs w:val="16"/>
              </w:rPr>
              <w:t>g</w:t>
            </w:r>
            <w:r w:rsidRPr="00DD2742">
              <w:rPr>
                <w:sz w:val="16"/>
                <w:szCs w:val="16"/>
              </w:rPr>
              <w:t xml:space="preserve"> </w:t>
            </w:r>
            <w:r w:rsidRPr="00DD2742">
              <w:rPr>
                <w:sz w:val="16"/>
                <w:szCs w:val="16"/>
              </w:rPr>
              <w:t>a</w:t>
            </w:r>
            <w:r w:rsidRPr="00DD2742">
              <w:rPr>
                <w:sz w:val="16"/>
                <w:szCs w:val="16"/>
              </w:rPr>
              <w:t>n</w:t>
            </w:r>
            <w:r w:rsidRPr="00DD2742">
              <w:rPr>
                <w:sz w:val="16"/>
                <w:szCs w:val="16"/>
              </w:rPr>
              <w:t>n</w:t>
            </w:r>
            <w:r w:rsidRPr="00DD2742">
              <w:rPr>
                <w:sz w:val="16"/>
                <w:szCs w:val="16"/>
              </w:rPr>
              <w:t>u</w:t>
            </w:r>
            <w:r w:rsidRPr="00DD2742">
              <w:rPr>
                <w:sz w:val="16"/>
                <w:szCs w:val="16"/>
              </w:rPr>
              <w:t>a</w:t>
            </w:r>
            <w:r w:rsidRPr="00DD2742">
              <w:rPr>
                <w:sz w:val="16"/>
                <w:szCs w:val="16"/>
              </w:rPr>
              <w:t>l</w:t>
            </w:r>
            <w:r w:rsidRPr="00DD2742">
              <w:rPr>
                <w:sz w:val="16"/>
                <w:szCs w:val="16"/>
              </w:rPr>
              <w:t xml:space="preserve"> </w:t>
            </w:r>
            <w:r w:rsidRPr="00DD2742">
              <w:rPr>
                <w:sz w:val="16"/>
                <w:szCs w:val="16"/>
              </w:rPr>
              <w:t>E</w:t>
            </w:r>
            <w:r w:rsidRPr="00DD2742">
              <w:rPr>
                <w:sz w:val="16"/>
                <w:szCs w:val="16"/>
              </w:rPr>
              <w:t>U</w:t>
            </w:r>
            <w:r w:rsidRPr="00DD2742">
              <w:rPr>
                <w:sz w:val="16"/>
                <w:szCs w:val="16"/>
              </w:rPr>
              <w:t xml:space="preserve"> </w:t>
            </w:r>
            <w:r w:rsidRPr="00DD2742">
              <w:rPr>
                <w:sz w:val="16"/>
                <w:szCs w:val="16"/>
              </w:rPr>
              <w:t>S</w:t>
            </w:r>
            <w:r w:rsidRPr="00DD2742">
              <w:rPr>
                <w:sz w:val="16"/>
                <w:szCs w:val="16"/>
              </w:rPr>
              <w:t>u</w:t>
            </w:r>
            <w:r w:rsidRPr="00DD2742">
              <w:rPr>
                <w:sz w:val="16"/>
                <w:szCs w:val="16"/>
              </w:rPr>
              <w:t>p</w:t>
            </w:r>
            <w:r w:rsidRPr="00DD2742">
              <w:rPr>
                <w:sz w:val="16"/>
                <w:szCs w:val="16"/>
              </w:rPr>
              <w:t>p</w:t>
            </w:r>
            <w:r w:rsidRPr="00DD2742">
              <w:rPr>
                <w:sz w:val="16"/>
                <w:szCs w:val="16"/>
              </w:rPr>
              <w:t>o</w:t>
            </w:r>
            <w:r w:rsidRPr="00DD2742">
              <w:rPr>
                <w:sz w:val="16"/>
                <w:szCs w:val="16"/>
              </w:rPr>
              <w:t>r</w:t>
            </w:r>
            <w:r w:rsidRPr="00DD2742">
              <w:rPr>
                <w:sz w:val="16"/>
                <w:szCs w:val="16"/>
              </w:rPr>
              <w:t>t</w:t>
            </w:r>
            <w:r w:rsidRPr="00DD2742">
              <w:rPr>
                <w:sz w:val="16"/>
                <w:szCs w:val="16"/>
              </w:rPr>
              <w:t xml:space="preserve"> </w:t>
            </w:r>
            <w:r w:rsidRPr="00DD2742">
              <w:rPr>
                <w:sz w:val="16"/>
                <w:szCs w:val="16"/>
              </w:rPr>
              <w:t>s</w:t>
            </w:r>
            <w:r w:rsidRPr="00DD2742">
              <w:rPr>
                <w:sz w:val="16"/>
                <w:szCs w:val="16"/>
              </w:rPr>
              <w:t>p</w:t>
            </w:r>
            <w:r w:rsidRPr="00DD2742">
              <w:rPr>
                <w:sz w:val="16"/>
                <w:szCs w:val="16"/>
              </w:rPr>
              <w:t>e</w:t>
            </w:r>
            <w:r w:rsidRPr="00DD2742">
              <w:rPr>
                <w:sz w:val="16"/>
                <w:szCs w:val="16"/>
              </w:rPr>
              <w:t>c</w:t>
            </w:r>
            <w:r w:rsidRPr="00DD2742">
              <w:rPr>
                <w:sz w:val="16"/>
                <w:szCs w:val="16"/>
              </w:rPr>
              <w:t>i</w:t>
            </w:r>
            <w:r w:rsidRPr="00DD2742">
              <w:rPr>
                <w:sz w:val="16"/>
                <w:szCs w:val="16"/>
              </w:rPr>
              <w:t>f</w:t>
            </w:r>
            <w:r w:rsidRPr="00DD2742">
              <w:rPr>
                <w:sz w:val="16"/>
                <w:szCs w:val="16"/>
              </w:rPr>
              <w:t>i</w:t>
            </w:r>
            <w:r w:rsidRPr="00DD2742">
              <w:rPr>
                <w:sz w:val="16"/>
                <w:szCs w:val="16"/>
              </w:rPr>
              <w:t>e</w:t>
            </w:r>
            <w:r w:rsidRPr="00DD2742">
              <w:rPr>
                <w:sz w:val="16"/>
                <w:szCs w:val="16"/>
              </w:rPr>
              <w:t>d</w:t>
            </w:r>
            <w:r w:rsidRPr="00DD2742">
              <w:rPr>
                <w:sz w:val="16"/>
                <w:szCs w:val="16"/>
              </w:rPr>
              <w:t xml:space="preserve"> </w:t>
            </w:r>
            <w:r w:rsidRPr="00DD2742">
              <w:rPr>
                <w:sz w:val="16"/>
                <w:szCs w:val="16"/>
              </w:rPr>
              <w:t>i</w:t>
            </w:r>
            <w:r w:rsidRPr="00DD2742">
              <w:rPr>
                <w:sz w:val="16"/>
                <w:szCs w:val="16"/>
              </w:rPr>
              <w:t>n</w:t>
            </w:r>
            <w:r w:rsidRPr="00DD2742">
              <w:rPr>
                <w:sz w:val="16"/>
                <w:szCs w:val="16"/>
              </w:rPr>
              <w:t xml:space="preserve"> </w:t>
            </w:r>
            <w:r w:rsidRPr="00DD2742">
              <w:rPr>
                <w:sz w:val="16"/>
                <w:szCs w:val="16"/>
              </w:rPr>
              <w:t>t</w:t>
            </w:r>
            <w:r w:rsidRPr="00DD2742">
              <w:rPr>
                <w:sz w:val="16"/>
                <w:szCs w:val="16"/>
              </w:rPr>
              <w:t>h</w:t>
            </w:r>
            <w:r w:rsidRPr="00DD2742">
              <w:rPr>
                <w:sz w:val="16"/>
                <w:szCs w:val="16"/>
              </w:rPr>
              <w:t>e</w:t>
            </w:r>
            <w:r w:rsidRPr="00DD2742">
              <w:rPr>
                <w:sz w:val="16"/>
                <w:szCs w:val="16"/>
              </w:rPr>
              <w:t xml:space="preserve"> </w:t>
            </w:r>
            <w:r w:rsidRPr="00DD2742">
              <w:rPr>
                <w:sz w:val="16"/>
                <w:szCs w:val="16"/>
              </w:rPr>
              <w:t>F</w:t>
            </w:r>
            <w:r w:rsidRPr="00DD2742">
              <w:rPr>
                <w:sz w:val="16"/>
                <w:szCs w:val="16"/>
              </w:rPr>
              <w:t>i</w:t>
            </w:r>
            <w:r w:rsidRPr="00DD2742">
              <w:rPr>
                <w:sz w:val="16"/>
                <w:szCs w:val="16"/>
              </w:rPr>
              <w:t>n</w:t>
            </w:r>
            <w:r w:rsidRPr="00DD2742">
              <w:rPr>
                <w:sz w:val="16"/>
                <w:szCs w:val="16"/>
              </w:rPr>
              <w:t>a</w:t>
            </w:r>
            <w:r w:rsidRPr="00DD2742">
              <w:rPr>
                <w:sz w:val="16"/>
                <w:szCs w:val="16"/>
              </w:rPr>
              <w:t>n</w:t>
            </w:r>
            <w:r w:rsidRPr="00DD2742">
              <w:rPr>
                <w:sz w:val="16"/>
                <w:szCs w:val="16"/>
              </w:rPr>
              <w:t>c</w:t>
            </w:r>
            <w:r w:rsidRPr="00DD2742">
              <w:rPr>
                <w:sz w:val="16"/>
                <w:szCs w:val="16"/>
              </w:rPr>
              <w:t>i</w:t>
            </w:r>
            <w:r w:rsidRPr="00DD2742">
              <w:rPr>
                <w:sz w:val="16"/>
                <w:szCs w:val="16"/>
              </w:rPr>
              <w:t>a</w:t>
            </w:r>
            <w:r w:rsidRPr="00DD2742">
              <w:rPr>
                <w:sz w:val="16"/>
                <w:szCs w:val="16"/>
              </w:rPr>
              <w:t>l</w:t>
            </w:r>
            <w:r w:rsidRPr="00DD2742">
              <w:rPr>
                <w:sz w:val="16"/>
                <w:szCs w:val="16"/>
              </w:rPr>
              <w:t xml:space="preserve"> </w:t>
            </w:r>
            <w:r w:rsidRPr="00DD2742">
              <w:rPr>
                <w:sz w:val="16"/>
                <w:szCs w:val="16"/>
              </w:rPr>
              <w:t>P</w:t>
            </w:r>
            <w:r w:rsidRPr="00DD2742">
              <w:rPr>
                <w:sz w:val="16"/>
                <w:szCs w:val="16"/>
              </w:rPr>
              <w:t>e</w:t>
            </w:r>
            <w:r w:rsidRPr="00DD2742">
              <w:rPr>
                <w:sz w:val="16"/>
                <w:szCs w:val="16"/>
              </w:rPr>
              <w:t>r</w:t>
            </w:r>
            <w:r w:rsidRPr="00DD2742">
              <w:rPr>
                <w:sz w:val="16"/>
                <w:szCs w:val="16"/>
              </w:rPr>
              <w:t>s</w:t>
            </w:r>
            <w:r w:rsidRPr="00DD2742">
              <w:rPr>
                <w:sz w:val="16"/>
                <w:szCs w:val="16"/>
              </w:rPr>
              <w:t>p</w:t>
            </w:r>
            <w:r w:rsidRPr="00DD2742">
              <w:rPr>
                <w:sz w:val="16"/>
                <w:szCs w:val="16"/>
              </w:rPr>
              <w:t>e</w:t>
            </w:r>
            <w:r w:rsidRPr="00DD2742">
              <w:rPr>
                <w:sz w:val="16"/>
                <w:szCs w:val="16"/>
              </w:rPr>
              <w:t>c</w:t>
            </w:r>
            <w:r w:rsidRPr="00DD2742">
              <w:rPr>
                <w:sz w:val="16"/>
                <w:szCs w:val="16"/>
              </w:rPr>
              <w:t>t</w:t>
            </w:r>
            <w:r w:rsidRPr="00DD2742">
              <w:rPr>
                <w:sz w:val="16"/>
                <w:szCs w:val="16"/>
              </w:rPr>
              <w:t>i</w:t>
            </w:r>
            <w:r w:rsidRPr="00DD2742">
              <w:rPr>
                <w:sz w:val="16"/>
                <w:szCs w:val="16"/>
              </w:rPr>
              <w:t>v</w:t>
            </w:r>
            <w:r w:rsidRPr="00DD2742">
              <w:rPr>
                <w:sz w:val="16"/>
                <w:szCs w:val="16"/>
              </w:rPr>
              <w:t>e</w:t>
            </w:r>
            <w:r w:rsidRPr="00DD2742">
              <w:rPr>
                <w:sz w:val="16"/>
                <w:szCs w:val="16"/>
              </w:rPr>
              <w:t>s</w:t>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3</w:t>
            </w:r>
            <w:r w:rsidRPr="00DD2742">
              <w:rPr>
                <w:sz w:val="16"/>
                <w:szCs w:val="16"/>
              </w:rPr>
              <w:t>7</w:t>
            </w:r>
            <w:r w:rsidRPr="00DD2742">
              <w:rPr>
                <w:sz w:val="16"/>
                <w:szCs w:val="16"/>
              </w:rPr>
              <w:t>0</w:t>
            </w:r>
            <w:r w:rsidRPr="00DD2742">
              <w:rPr>
                <w:sz w:val="16"/>
                <w:szCs w:val="16"/>
              </w:rPr>
              <w:t>,</w:t>
            </w:r>
            <w:r w:rsidRPr="00DD2742">
              <w:rPr>
                <w:sz w:val="16"/>
                <w:szCs w:val="16"/>
              </w:rPr>
              <w:t>3</w:t>
            </w:r>
            <w:r w:rsidRPr="00DD2742">
              <w:rPr>
                <w:sz w:val="16"/>
                <w:szCs w:val="16"/>
              </w:rPr>
              <w:t>1</w:t>
            </w:r>
            <w:r w:rsidRPr="00DD2742">
              <w:rPr>
                <w:sz w:val="16"/>
                <w:szCs w:val="16"/>
              </w:rPr>
              <w:t>3</w:t>
            </w:r>
            <w:r w:rsidRPr="00DD2742">
              <w:rPr>
                <w:sz w:val="16"/>
                <w:szCs w:val="16"/>
              </w:rPr>
              <w:t>,</w:t>
            </w:r>
            <w:r w:rsidRPr="00DD2742">
              <w:rPr>
                <w:sz w:val="16"/>
                <w:szCs w:val="16"/>
              </w:rPr>
              <w:t>7</w:t>
            </w:r>
            <w:r w:rsidRPr="00DD2742">
              <w:rPr>
                <w:sz w:val="16"/>
                <w:szCs w:val="16"/>
              </w:rPr>
              <w:t>7</w:t>
            </w:r>
            <w:r w:rsidRPr="00DD2742">
              <w:rPr>
                <w:sz w:val="16"/>
                <w:szCs w:val="16"/>
              </w:rPr>
              <w:t>7</w:t>
            </w:r>
            <w:r w:rsidRPr="00DD2742">
              <w:rPr>
                <w:sz w:val="16"/>
                <w:szCs w:val="16"/>
              </w:rPr>
              <w:t>.</w:t>
            </w:r>
            <w:r w:rsidRPr="00DD2742">
              <w:rPr>
                <w:sz w:val="16"/>
                <w:szCs w:val="16"/>
              </w:rPr>
              <w:t>0</w:t>
            </w:r>
            <w:r w:rsidRPr="00DD2742">
              <w:rPr>
                <w:sz w:val="16"/>
                <w:szCs w:val="16"/>
              </w:rPr>
              <w:t>0</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w:t>
            </w:r>
            <w:r w:rsidRPr="00DD2742">
              <w:rPr>
                <w:sz w:val="16"/>
                <w:szCs w:val="16"/>
              </w:rPr>
              <w:t xml:space="preserve"> </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1</w:t>
            </w:r>
            <w:r w:rsidRPr="00DD2742">
              <w:rPr>
                <w:sz w:val="16"/>
                <w:szCs w:val="16"/>
              </w:rPr>
              <w:t>4</w:t>
            </w:r>
            <w:r w:rsidRPr="00DD2742">
              <w:rPr>
                <w:sz w:val="16"/>
                <w:szCs w:val="16"/>
              </w:rPr>
              <w:t>9</w:t>
            </w:r>
            <w:r w:rsidRPr="00DD2742">
              <w:rPr>
                <w:sz w:val="16"/>
                <w:szCs w:val="16"/>
              </w:rPr>
              <w:t>,</w:t>
            </w:r>
            <w:r w:rsidRPr="00DD2742">
              <w:rPr>
                <w:sz w:val="16"/>
                <w:szCs w:val="16"/>
              </w:rPr>
              <w:t>4</w:t>
            </w:r>
            <w:r w:rsidRPr="00DD2742">
              <w:rPr>
                <w:sz w:val="16"/>
                <w:szCs w:val="16"/>
              </w:rPr>
              <w:t>5</w:t>
            </w:r>
            <w:r w:rsidRPr="00DD2742">
              <w:rPr>
                <w:sz w:val="16"/>
                <w:szCs w:val="16"/>
              </w:rPr>
              <w:t>9</w:t>
            </w:r>
            <w:r w:rsidRPr="00DD2742">
              <w:rPr>
                <w:sz w:val="16"/>
                <w:szCs w:val="16"/>
              </w:rPr>
              <w:t>,</w:t>
            </w:r>
            <w:r w:rsidRPr="00DD2742">
              <w:rPr>
                <w:sz w:val="16"/>
                <w:szCs w:val="16"/>
              </w:rPr>
              <w:t>6</w:t>
            </w:r>
            <w:r w:rsidRPr="00DD2742">
              <w:rPr>
                <w:sz w:val="16"/>
                <w:szCs w:val="16"/>
              </w:rPr>
              <w:t>5</w:t>
            </w:r>
            <w:r w:rsidRPr="00DD2742">
              <w:rPr>
                <w:sz w:val="16"/>
                <w:szCs w:val="16"/>
              </w:rPr>
              <w:t>5</w:t>
            </w:r>
            <w:r w:rsidRPr="00DD2742">
              <w:rPr>
                <w:sz w:val="16"/>
                <w:szCs w:val="16"/>
              </w:rPr>
              <w:t>.</w:t>
            </w:r>
            <w:r w:rsidRPr="00DD2742">
              <w:rPr>
                <w:sz w:val="16"/>
                <w:szCs w:val="16"/>
              </w:rPr>
              <w:t>0</w:t>
            </w:r>
            <w:r w:rsidRPr="00DD2742">
              <w:rPr>
                <w:sz w:val="16"/>
                <w:szCs w:val="16"/>
              </w:rPr>
              <w:t>0</w:t>
            </w:r>
            <w:r w:rsidRPr="00DD2742">
              <w:rPr>
                <w:sz w:val="16"/>
                <w:szCs w:val="16"/>
              </w:rPr>
              <w:fldChar w:fldCharType="begin"/>
            </w:r>
            <w:r w:rsidRPr="00DD2742">
              <w:rPr>
                <w:sz w:val="16"/>
                <w:szCs w:val="16"/>
              </w:rPr>
              <w:instrText xml:space="preserve">QUOTE </w:instrText>
            </w:r>
            <w:r w:rsidRPr="00DD2742">
              <w:rPr>
                <w:sz w:val="16"/>
                <w:szCs w:val="16"/>
              </w:rPr>
              <w:instrText>34</w:instrText>
            </w:r>
            <w:r w:rsidRPr="00DD2742">
              <w:rPr>
                <w:sz w:val="16"/>
                <w:szCs w:val="16"/>
              </w:rPr>
              <w:fldChar w:fldCharType="separate"/>
            </w:r>
            <w:r>
              <w:t>"</w:t>
            </w:r>
            <w:r w:rsidRPr="00DD2742">
              <w:rPr>
                <w:sz w:val="16"/>
                <w:szCs w:val="16"/>
              </w:rPr>
              <w:fldChar w:fldCharType="end"/>
            </w:r>
            <w:r w:rsidRPr="00DD2742">
              <w:rPr>
                <w:sz w:val="16"/>
                <w:szCs w:val="16"/>
              </w:rPr>
              <w:t>.</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Warning</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Indicator 3S21 has no target value at all in Table 6 for priority axis AP2.</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Warning</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Indicator 3S21 has no target value at all in Table 6 for priority axis AP2.</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Warning</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Indicator 3S22 has no target value at all in Table 6 for priority axis AP2.</w:t>
            </w:r>
          </w:p>
        </w:tc>
      </w:tr>
      <w:tr w:rsidTr="00BA1B5A">
        <w:tblPrEx>
          <w:tblW w:w="5000" w:type="pct"/>
          <w:tblCellMar>
            <w:right w:w="0" w:type="dxa"/>
          </w:tblCellMar>
          <w:tblLook w:val="04A0"/>
        </w:tblPrEx>
        <w:trPr>
          <w:trHeight w:val="283"/>
        </w:trPr>
        <w:tc>
          <w:tcPr>
            <w:shd w:val="clear" w:color="auto" w:fill="auto"/>
          </w:tcPr>
          <w:p w:rsidR="00434D73" w:rsidRPr="00DD2742" w:rsidP="006477CC">
            <w:pPr>
              <w:pStyle w:val="NormalLeft"/>
              <w:spacing w:before="0" w:after="0"/>
              <w:rPr>
                <w:sz w:val="16"/>
                <w:szCs w:val="16"/>
              </w:rPr>
            </w:pPr>
            <w:r w:rsidRPr="00DD2742">
              <w:rPr>
                <w:noProof/>
                <w:sz w:val="16"/>
                <w:szCs w:val="16"/>
              </w:rPr>
              <w:t>Warning</w:t>
            </w:r>
          </w:p>
        </w:tc>
        <w:tc>
          <w:tcPr>
            <w:shd w:val="clear" w:color="auto" w:fill="auto"/>
          </w:tcPr>
          <w:p w:rsidR="00434D73" w:rsidRPr="00DD2742" w:rsidP="006477CC">
            <w:pPr>
              <w:pStyle w:val="NormalLeft"/>
              <w:spacing w:before="0" w:after="0"/>
              <w:rPr>
                <w:sz w:val="16"/>
                <w:szCs w:val="16"/>
              </w:rPr>
            </w:pPr>
            <w:r w:rsidRPr="00DD2742">
              <w:rPr>
                <w:noProof/>
                <w:sz w:val="16"/>
                <w:szCs w:val="16"/>
              </w:rPr>
              <w:t>2.52</w:t>
            </w:r>
          </w:p>
        </w:tc>
        <w:tc>
          <w:tcPr>
            <w:shd w:val="clear" w:color="auto" w:fill="auto"/>
          </w:tcPr>
          <w:p w:rsidR="00434D73" w:rsidRPr="00DD2742" w:rsidP="006477CC">
            <w:pPr>
              <w:pStyle w:val="NormalLeft"/>
              <w:spacing w:before="0" w:after="0"/>
              <w:rPr>
                <w:sz w:val="16"/>
                <w:szCs w:val="16"/>
              </w:rPr>
            </w:pPr>
            <w:r w:rsidRPr="00DD2742">
              <w:rPr>
                <w:noProof/>
                <w:sz w:val="16"/>
                <w:szCs w:val="16"/>
              </w:rPr>
              <w:t>Indicator 3S22 has no target value at all in Table 6 for priority axis AP2.</w:t>
            </w:r>
          </w:p>
        </w:tc>
      </w:tr>
    </w:tbl>
    <w:p w:rsidR="00673320" w:rsidRPr="001A4AC5" w:rsidP="00DD2742"/>
    <w:sectPr w:rsidSect="009B4CA5">
      <w:headerReference w:type="default" r:id="rId35"/>
      <w:footerReference w:type="default" r:id="rId36"/>
      <w:type w:val="nextPage"/>
      <w:pgSz w:w="16838" w:h="11906" w:orient="landscape"/>
      <w:pgMar w:top="0" w:right="567" w:bottom="0" w:left="851" w:header="0" w:footer="284"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hell Dlg 2">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0000000000000000000"/>
    <w:charset w:val="00"/>
    <w:family w:val="auto"/>
    <w:pitch w:val="variable"/>
    <w:sig w:usb0="00000000"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B6">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Landscape"/>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B05E23">
      <w:rPr>
        <w:noProof/>
      </w:rPr>
      <w:t>163</w:t>
    </w:r>
    <w:r>
      <w:fldChar w:fldCharType="end"/>
    </w:r>
    <w:r>
      <w:tab/>
    </w:r>
    <w:r w:rsidRPr="007C3041">
      <w:tab/>
    </w:r>
    <w:r>
      <w:rPr>
        <w:rFonts w:ascii="Arial" w:hAnsi="Arial" w:cs="Arial"/>
        <w:b/>
        <w:noProof/>
        <w:sz w:val="48"/>
      </w:rPr>
      <w:t>EN</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Landscape"/>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B05E23">
      <w:rPr>
        <w:noProof/>
      </w:rPr>
      <w:t>172</w:t>
    </w:r>
    <w:r>
      <w:fldChar w:fldCharType="end"/>
    </w:r>
    <w:r>
      <w:tab/>
    </w:r>
    <w:r w:rsidRPr="007C3041">
      <w:tab/>
    </w:r>
    <w:r>
      <w:rPr>
        <w:rFonts w:ascii="Arial" w:hAnsi="Arial" w:cs="Arial"/>
        <w:b/>
        <w:noProof/>
        <w:sz w:val="48"/>
      </w:rPr>
      <w:t>EN</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C57C82" w:rsidP="00BF725A">
    <w:pPr>
      <w:pStyle w:val="Footer"/>
      <w:tabs>
        <w:tab w:val="clear" w:pos="4535"/>
        <w:tab w:val="left" w:pos="7371"/>
        <w:tab w:val="clear" w:pos="9071"/>
        <w:tab w:val="clear" w:pos="9921"/>
        <w:tab w:val="right" w:pos="15309"/>
      </w:tabs>
      <w:spacing w:before="0" w:after="120"/>
      <w:ind w:left="0" w:right="0"/>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w:instrText>
    </w:r>
    <w:r>
      <w:fldChar w:fldCharType="separate"/>
    </w:r>
    <w:r>
      <w:t>176</w:t>
    </w:r>
    <w:r>
      <w:fldChar w:fldCharType="end"/>
    </w:r>
    <w:r>
      <w:tab/>
    </w:r>
    <w:r>
      <w:rPr>
        <w:rFonts w:ascii="Arial" w:hAnsi="Arial" w:cs="Arial"/>
        <w:b/>
        <w:noProof/>
        <w:sz w:val="48"/>
      </w:rPr>
      <w:t>EN</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Foote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BB2" w:rsidRPr="008E3442" w:rsidP="005A7CA7">
    <w:pPr>
      <w:pStyle w:val="FooterLandscape"/>
      <w:tabs>
        <w:tab w:val="clear" w:pos="7285"/>
        <w:tab w:val="center" w:pos="7938"/>
        <w:tab w:val="clear" w:pos="10913"/>
        <w:tab w:val="clear" w:pos="15137"/>
        <w:tab w:val="right" w:pos="15876"/>
      </w:tabs>
      <w:spacing w:before="0" w:after="120"/>
      <w:ind w:left="0" w:right="-283"/>
      <w:rPr>
        <w:rFonts w:ascii="Arial" w:hAnsi="Arial" w:cs="Arial"/>
        <w:b/>
        <w:sz w:val="48"/>
      </w:rPr>
    </w:pPr>
    <w:r w:rsidRPr="005F6C78">
      <w:rPr>
        <w:rFonts w:ascii="Arial" w:hAnsi="Arial" w:cs="Arial"/>
        <w:b/>
        <w:noProof/>
        <w:sz w:val="48"/>
        <w:szCs w:val="48"/>
        <w:lang w:val="fr-BE"/>
      </w:rPr>
      <w:t>EN</w:t>
    </w:r>
    <w:r w:rsidRPr="008E3442">
      <w:rPr>
        <w:rFonts w:ascii="Arial" w:hAnsi="Arial" w:cs="Arial"/>
        <w:b/>
        <w:sz w:val="48"/>
      </w:rPr>
      <w:tab/>
    </w:r>
    <w:r>
      <w:fldChar w:fldCharType="begin"/>
    </w:r>
    <w:r>
      <w:instrText xml:space="preserve"> PAGE  \* MERGEFORMAT </w:instrText>
    </w:r>
    <w:r>
      <w:fldChar w:fldCharType="separate"/>
    </w:r>
    <w:r w:rsidR="005A7CA7">
      <w:rPr>
        <w:noProof/>
      </w:rPr>
      <w:t>177</w:t>
    </w:r>
    <w:r>
      <w:fldChar w:fldCharType="end"/>
    </w:r>
    <w:r w:rsidRPr="008E3442">
      <w:tab/>
    </w:r>
    <w:r w:rsidRPr="005F6C78">
      <w:rPr>
        <w:rFonts w:ascii="Arial" w:hAnsi="Arial" w:cs="Arial"/>
        <w:b/>
        <w:noProof/>
        <w:sz w:val="48"/>
        <w:szCs w:val="48"/>
        <w:lang w:val="fr-BE"/>
      </w:rPr>
      <w:t>EN</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D73" w:rsidRPr="002C592F" w:rsidP="006C3A4F">
    <w:pPr>
      <w:pStyle w:val="FooterLandscape"/>
      <w:tabs>
        <w:tab w:val="clear" w:pos="7285"/>
        <w:tab w:val="center" w:pos="7655"/>
        <w:tab w:val="clear" w:pos="10913"/>
        <w:tab w:val="clear" w:pos="15137"/>
        <w:tab w:val="right" w:pos="15763"/>
      </w:tabs>
      <w:spacing w:before="0" w:after="120"/>
      <w:ind w:left="0" w:right="-173"/>
      <w:rPr>
        <w:rFonts w:ascii="Arial" w:hAnsi="Arial" w:cs="Arial"/>
        <w:b/>
        <w:sz w:val="48"/>
      </w:rPr>
    </w:pPr>
    <w:r w:rsidRPr="005F6C78" w:rsidR="002C592F">
      <w:rPr>
        <w:rFonts w:ascii="Arial" w:hAnsi="Arial" w:cs="Arial"/>
        <w:b/>
        <w:noProof/>
        <w:sz w:val="48"/>
        <w:szCs w:val="48"/>
        <w:lang w:val="fr-BE"/>
      </w:rPr>
      <w:t>EN</w:t>
    </w:r>
    <w:r w:rsidRPr="008E3442" w:rsidR="002C592F">
      <w:rPr>
        <w:rFonts w:ascii="Arial" w:hAnsi="Arial" w:cs="Arial"/>
        <w:b/>
        <w:sz w:val="48"/>
      </w:rPr>
      <w:tab/>
    </w:r>
    <w:r w:rsidR="002C592F">
      <w:fldChar w:fldCharType="begin"/>
    </w:r>
    <w:r w:rsidR="002C592F">
      <w:instrText xml:space="preserve"> PAGE  \* MERGEFORMAT </w:instrText>
    </w:r>
    <w:r w:rsidR="002C592F">
      <w:fldChar w:fldCharType="separate"/>
    </w:r>
    <w:r w:rsidR="006C3A4F">
      <w:rPr>
        <w:noProof/>
      </w:rPr>
      <w:t>178</w:t>
    </w:r>
    <w:r w:rsidR="002C592F">
      <w:fldChar w:fldCharType="end"/>
    </w:r>
    <w:r w:rsidRPr="008E3442" w:rsidR="002C592F">
      <w:tab/>
    </w:r>
    <w:r w:rsidRPr="005F6C78" w:rsidR="002C592F">
      <w:rPr>
        <w:rFonts w:ascii="Arial" w:hAnsi="Arial" w:cs="Arial"/>
        <w:b/>
        <w:noProof/>
        <w:sz w:val="48"/>
        <w:szCs w:val="48"/>
        <w:lang w:val="fr-BE"/>
      </w:rPr>
      <w:t>EN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AA6685">
      <w:rPr>
        <w:noProof/>
      </w:rPr>
      <w:t>33</w:t>
    </w:r>
    <w:r>
      <w:fldChar w:fldCharType="end"/>
    </w:r>
    <w:r>
      <w:tab/>
    </w:r>
    <w:r w:rsidRPr="007C3041">
      <w:tab/>
    </w:r>
    <w:r>
      <w:rPr>
        <w:rFonts w:ascii="Arial" w:hAnsi="Arial" w:cs="Arial"/>
        <w:b/>
        <w:noProof/>
        <w:sz w:val="48"/>
      </w:rPr>
      <w:t>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B6">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Landscape"/>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B05E23">
      <w:rPr>
        <w:noProof/>
      </w:rPr>
      <w:t>121</w:t>
    </w:r>
    <w:r>
      <w:fldChar w:fldCharType="end"/>
    </w:r>
    <w:r>
      <w:tab/>
    </w:r>
    <w:r w:rsidRPr="007C3041">
      <w:tab/>
    </w:r>
    <w:r>
      <w:rPr>
        <w:rFonts w:ascii="Arial" w:hAnsi="Arial" w:cs="Arial"/>
        <w:b/>
        <w:noProof/>
        <w:sz w:val="48"/>
      </w:rPr>
      <w:t>EN</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Landscap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B05E23">
      <w:rPr>
        <w:noProof/>
      </w:rPr>
      <w:t>127</w:t>
    </w:r>
    <w:r>
      <w:fldChar w:fldCharType="end"/>
    </w:r>
    <w:r>
      <w:tab/>
    </w:r>
    <w:r w:rsidRPr="007C3041">
      <w:tab/>
    </w:r>
    <w:r>
      <w:rPr>
        <w:rFonts w:ascii="Arial" w:hAnsi="Arial" w:cs="Arial"/>
        <w:b/>
        <w:noProof/>
        <w:sz w:val="48"/>
      </w:rPr>
      <w:t>EN</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FooterLandscape"/>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B05E23">
      <w:rPr>
        <w:noProof/>
      </w:rPr>
      <w:t>129</w:t>
    </w:r>
    <w:r>
      <w:fldChar w:fldCharType="end"/>
    </w:r>
    <w:r>
      <w:tab/>
    </w:r>
    <w:r w:rsidRPr="007C3041">
      <w:tab/>
    </w:r>
    <w:r>
      <w:rPr>
        <w:rFonts w:ascii="Arial" w:hAnsi="Arial" w:cs="Arial"/>
        <w:b/>
        <w:noProof/>
        <w:sz w:val="48"/>
      </w:rPr>
      <w:t>EN</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42051F" w:rsidP="00426349">
    <w:pPr>
      <w:pStyle w:val="Footer"/>
      <w:rPr>
        <w:rFonts w:ascii="Arial" w:hAnsi="Arial" w:cs="Arial"/>
        <w:b/>
        <w:sz w:val="48"/>
      </w:rPr>
    </w:pPr>
    <w:r>
      <w:rPr>
        <w:rFonts w:ascii="Arial" w:hAnsi="Arial" w:cs="Arial"/>
        <w:b/>
        <w:noProof/>
        <w:sz w:val="48"/>
      </w:rPr>
      <w:t>EN</w:t>
    </w:r>
    <w:r w:rsidRPr="007C3041">
      <w:rPr>
        <w:rFonts w:ascii="Arial" w:hAnsi="Arial" w:cs="Arial"/>
        <w:b/>
        <w:sz w:val="48"/>
      </w:rPr>
      <w:tab/>
    </w:r>
    <w:r>
      <w:fldChar w:fldCharType="begin"/>
    </w:r>
    <w:r>
      <w:instrText xml:space="preserve"> PAGE  \* MERGEFORMAT </w:instrText>
    </w:r>
    <w:r>
      <w:fldChar w:fldCharType="separate"/>
    </w:r>
    <w:r w:rsidR="00B05E23">
      <w:rPr>
        <w:noProof/>
      </w:rPr>
      <w:t>141</w:t>
    </w:r>
    <w:r>
      <w:fldChar w:fldCharType="end"/>
    </w:r>
    <w:r>
      <w:tab/>
    </w:r>
    <w:r w:rsidRPr="007C3041">
      <w:tab/>
    </w:r>
    <w:r>
      <w:rPr>
        <w:rFonts w:ascii="Arial" w:hAnsi="Arial" w:cs="Arial"/>
        <w:b/>
        <w:noProof/>
        <w:sz w:val="48"/>
      </w:rPr>
      <w:t>EN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B6">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AA1B27" w:rsidP="00426349">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Header"/>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046E2A" w:rsidP="0047688D">
    <w:pPr>
      <w:pStyle w:val="Header"/>
      <w:rPr>
        <w:sz w:val="8"/>
        <w:szCs w:val="8"/>
      </w:rPr>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88D" w:rsidRPr="00D066A4" w:rsidP="0047688D">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EAB" w:rsidP="00CA6EAB">
    <w:pPr>
      <w:pStyle w:val="Header0"/>
      <w:spacing w:before="0" w:after="0"/>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FDD" w:rsidRPr="00470F82" w:rsidP="001E682E">
    <w:pPr>
      <w:pStyle w:val="Header0"/>
      <w:spacing w:before="0" w:after="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B6" w:rsidRPr="00C36FC2" w:rsidP="005944B6">
    <w:pPr>
      <w:pStyle w:val="Header"/>
      <w:rPr>
        <w:sz w:val="10"/>
        <w:szCs w:val="10"/>
      </w:rPr>
    </w:pPr>
    <w:r w:rsidRPr="00C36FC2">
      <w:rPr>
        <w:sz w:val="10"/>
        <w:szCs w:val="10"/>
      </w:rPr>
      <w:fldChar w:fldCharType="begin"/>
    </w:r>
    <w:r w:rsidRPr="00C36FC2">
      <w:rPr>
        <w:sz w:val="10"/>
        <w:szCs w:val="10"/>
      </w:rPr>
      <w:instrText xml:space="preserve"> SET m_ratio </w:instrText>
    </w:r>
    <w:r w:rsidRPr="00C36FC2">
      <w:rPr>
        <w:noProof/>
        <w:sz w:val="10"/>
        <w:szCs w:val="10"/>
      </w:rPr>
      <w:instrText>"</w:instrText>
    </w:r>
    <w:r w:rsidRPr="00C36FC2">
      <w:rPr>
        <w:noProof/>
        <w:sz w:val="10"/>
        <w:szCs w:val="10"/>
      </w:rPr>
      <w:instrText>Ratio (%)</w:instrText>
    </w:r>
    <w:r w:rsidRPr="00C36FC2">
      <w:rPr>
        <w:noProof/>
        <w:sz w:val="10"/>
        <w:szCs w:val="10"/>
      </w:rPr>
      <w:instrText>"</w:instrText>
    </w:r>
    <w:r w:rsidRPr="00C36FC2">
      <w:rPr>
        <w:sz w:val="10"/>
        <w:szCs w:val="10"/>
      </w:rPr>
      <w:instrText xml:space="preserve"> </w:instrText>
    </w:r>
    <w:r w:rsidRPr="00C36FC2">
      <w:rPr>
        <w:sz w:val="10"/>
        <w:szCs w:val="10"/>
      </w:rPr>
      <w:fldChar w:fldCharType="separate"/>
    </w:r>
    <w:bookmarkStart w:id="4" w:name="m_ratio"/>
    <w:r w:rsidRPr="00C36FC2">
      <w:rPr>
        <w:noProof/>
        <w:sz w:val="10"/>
        <w:szCs w:val="10"/>
      </w:rPr>
      <w:t>Ratio (%)</w:t>
    </w:r>
    <w:bookmarkEnd w:id="4"/>
    <w:r w:rsidRPr="00C36FC2">
      <w:rPr>
        <w:sz w:val="10"/>
        <w:szCs w:val="10"/>
      </w:rPr>
      <w:fldChar w:fldCharType="end"/>
    </w:r>
  </w:p>
  <w:p w:rsidR="005944B6" w:rsidP="005944B6">
    <w:pPr>
      <w:pStyle w:val="Header"/>
      <w:rPr>
        <w:sz w:val="10"/>
        <w:szCs w:val="10"/>
      </w:rPr>
    </w:pPr>
    <w:r w:rsidRPr="00C36FC2">
      <w:rPr>
        <w:sz w:val="10"/>
        <w:szCs w:val="10"/>
      </w:rPr>
      <w:fldChar w:fldCharType="begin"/>
    </w:r>
    <w:r w:rsidRPr="00C36FC2">
      <w:rPr>
        <w:sz w:val="10"/>
        <w:szCs w:val="10"/>
      </w:rPr>
      <w:instrText xml:space="preserve"> SET m_number </w:instrText>
    </w:r>
    <w:r w:rsidRPr="00C36FC2">
      <w:rPr>
        <w:noProof/>
        <w:sz w:val="10"/>
        <w:szCs w:val="10"/>
      </w:rPr>
      <w:instrText>Number</w:instrText>
    </w:r>
    <w:r w:rsidRPr="00C36FC2">
      <w:rPr>
        <w:sz w:val="10"/>
        <w:szCs w:val="10"/>
      </w:rPr>
      <w:instrText xml:space="preserve"> </w:instrText>
    </w:r>
    <w:r w:rsidRPr="00C36FC2">
      <w:rPr>
        <w:sz w:val="10"/>
        <w:szCs w:val="10"/>
      </w:rPr>
      <w:fldChar w:fldCharType="separate"/>
    </w:r>
    <w:bookmarkStart w:id="5" w:name="m_number"/>
    <w:r w:rsidRPr="00C36FC2">
      <w:rPr>
        <w:noProof/>
        <w:sz w:val="10"/>
        <w:szCs w:val="10"/>
      </w:rPr>
      <w:t>Number</w:t>
    </w:r>
    <w:bookmarkEnd w:id="5"/>
    <w:r w:rsidRPr="00C36FC2">
      <w:rPr>
        <w:sz w:val="10"/>
        <w:szCs w:val="10"/>
      </w:rPr>
      <w:fldChar w:fldCharType="end"/>
    </w:r>
  </w:p>
  <w:p w:rsidR="005944B6">
    <w:pPr>
      <w:pStyle w:val="Header"/>
    </w:pPr>
    <w:r w:rsidRPr="00D11497">
      <w:rPr>
        <w:sz w:val="8"/>
        <w:szCs w:val="8"/>
      </w:rPr>
      <w:fldChar w:fldCharType="begin"/>
    </w:r>
    <w:r w:rsidRPr="00D11497">
      <w:rPr>
        <w:sz w:val="8"/>
        <w:szCs w:val="8"/>
      </w:rPr>
      <w:instrText xml:space="preserve"> SET m_public_font4 </w:instrText>
    </w:r>
    <w:r w:rsidRPr="00D11497">
      <w:rPr>
        <w:noProof/>
        <w:sz w:val="8"/>
        <w:szCs w:val="8"/>
      </w:rPr>
      <w:instrText>Public</w:instrText>
    </w:r>
    <w:r w:rsidRPr="00D11497">
      <w:rPr>
        <w:sz w:val="8"/>
        <w:szCs w:val="8"/>
      </w:rPr>
      <w:instrText xml:space="preserve"> </w:instrText>
    </w:r>
    <w:r>
      <w:rPr>
        <w:sz w:val="8"/>
        <w:szCs w:val="8"/>
      </w:rPr>
      <w:fldChar w:fldCharType="separate"/>
    </w:r>
    <w:bookmarkStart w:id="6" w:name="m_public_font4"/>
    <w:r w:rsidRPr="00D11497">
      <w:rPr>
        <w:noProof/>
        <w:sz w:val="8"/>
        <w:szCs w:val="8"/>
      </w:rPr>
      <w:t>Public</w:t>
    </w:r>
    <w:bookmarkEnd w:id="6"/>
    <w:r w:rsidRPr="00D11497">
      <w:rPr>
        <w:sz w:val="8"/>
        <w:szCs w:val="8"/>
      </w:rPr>
      <w:fldChar w:fldCharType="end"/>
    </w:r>
    <w:r w:rsidRPr="000B32AE">
      <w:rPr>
        <w:sz w:val="10"/>
        <w:szCs w:val="10"/>
      </w:rPr>
      <w:fldChar w:fldCharType="begin"/>
    </w:r>
    <w:r w:rsidRPr="000B32AE">
      <w:rPr>
        <w:sz w:val="10"/>
        <w:szCs w:val="10"/>
      </w:rPr>
      <w:instrText xml:space="preserve"> SET m_public_font5 </w:instrText>
    </w:r>
    <w:r w:rsidRPr="000B32AE">
      <w:rPr>
        <w:noProof/>
        <w:sz w:val="10"/>
        <w:szCs w:val="10"/>
      </w:rPr>
      <w:instrText>Public</w:instrText>
    </w:r>
    <w:r w:rsidRPr="000B32AE">
      <w:rPr>
        <w:sz w:val="10"/>
        <w:szCs w:val="10"/>
      </w:rPr>
      <w:instrText xml:space="preserve"> </w:instrText>
    </w:r>
    <w:r>
      <w:rPr>
        <w:sz w:val="10"/>
        <w:szCs w:val="10"/>
      </w:rPr>
      <w:fldChar w:fldCharType="separate"/>
    </w:r>
    <w:bookmarkStart w:id="7" w:name="m_public_font5"/>
    <w:r w:rsidRPr="000B32AE">
      <w:rPr>
        <w:noProof/>
        <w:sz w:val="10"/>
        <w:szCs w:val="10"/>
      </w:rPr>
      <w:t>Public</w:t>
    </w:r>
    <w:bookmarkEnd w:id="7"/>
    <w:r w:rsidRPr="000B32AE">
      <w:rPr>
        <w:sz w:val="10"/>
        <w:szCs w:val="10"/>
      </w:rPr>
      <w:fldChar w:fldCharType="end"/>
    </w:r>
    <w:r w:rsidRPr="00D32C32">
      <w:rPr>
        <w:sz w:val="16"/>
        <w:szCs w:val="16"/>
      </w:rPr>
      <w:fldChar w:fldCharType="begin"/>
    </w:r>
    <w:r w:rsidRPr="00D32C32">
      <w:rPr>
        <w:sz w:val="16"/>
        <w:szCs w:val="16"/>
      </w:rPr>
      <w:instrText xml:space="preserve"> SET m_public_font8 </w:instrText>
    </w:r>
    <w:r w:rsidRPr="00D32C32">
      <w:rPr>
        <w:noProof/>
        <w:sz w:val="16"/>
        <w:szCs w:val="16"/>
      </w:rPr>
      <w:instrText>Public</w:instrText>
    </w:r>
    <w:r w:rsidRPr="00D32C32">
      <w:rPr>
        <w:sz w:val="16"/>
        <w:szCs w:val="16"/>
      </w:rPr>
      <w:instrText xml:space="preserve"> </w:instrText>
    </w:r>
    <w:r w:rsidRPr="00D32C32">
      <w:rPr>
        <w:sz w:val="16"/>
        <w:szCs w:val="16"/>
      </w:rPr>
      <w:fldChar w:fldCharType="separate"/>
    </w:r>
    <w:bookmarkStart w:id="8" w:name="m_public_font8"/>
    <w:r w:rsidRPr="00D32C32">
      <w:rPr>
        <w:noProof/>
        <w:sz w:val="16"/>
        <w:szCs w:val="16"/>
      </w:rPr>
      <w:t>Public</w:t>
    </w:r>
    <w:bookmarkEnd w:id="8"/>
    <w:r w:rsidRPr="00D32C32">
      <w:rPr>
        <w:sz w:val="16"/>
        <w:szCs w:val="16"/>
      </w:rPr>
      <w:fldChar w:fldCharType="end"/>
    </w:r>
    <w:r w:rsidRPr="007C1D98">
      <w:rPr>
        <w:sz w:val="18"/>
        <w:szCs w:val="18"/>
      </w:rPr>
      <w:fldChar w:fldCharType="begin"/>
    </w:r>
    <w:r w:rsidRPr="007C1D98">
      <w:rPr>
        <w:sz w:val="18"/>
        <w:szCs w:val="18"/>
      </w:rPr>
      <w:instrText xml:space="preserve"> SET m_public_font9 </w:instrText>
    </w:r>
    <w:r w:rsidRPr="007C1D98">
      <w:rPr>
        <w:noProof/>
        <w:sz w:val="18"/>
        <w:szCs w:val="18"/>
      </w:rPr>
      <w:instrText>Public</w:instrText>
    </w:r>
    <w:r w:rsidRPr="007C1D98">
      <w:rPr>
        <w:sz w:val="18"/>
        <w:szCs w:val="18"/>
      </w:rPr>
      <w:instrText xml:space="preserve"> </w:instrText>
    </w:r>
    <w:r w:rsidRPr="007C1D98">
      <w:rPr>
        <w:sz w:val="18"/>
        <w:szCs w:val="18"/>
      </w:rPr>
      <w:fldChar w:fldCharType="separate"/>
    </w:r>
    <w:bookmarkStart w:id="9" w:name="m_public_font9"/>
    <w:r w:rsidRPr="007C1D98">
      <w:rPr>
        <w:noProof/>
        <w:sz w:val="18"/>
        <w:szCs w:val="18"/>
      </w:rPr>
      <w:t>Public</w:t>
    </w:r>
    <w:bookmarkEnd w:id="9"/>
    <w:r w:rsidRPr="007C1D98">
      <w:rPr>
        <w:sz w:val="18"/>
        <w:szCs w:val="18"/>
      </w:rPr>
      <w:fldChar w:fldCharType="end"/>
    </w:r>
    <w:r w:rsidRPr="00D472C5">
      <w:rPr>
        <w:sz w:val="22"/>
      </w:rPr>
      <w:fldChar w:fldCharType="begin"/>
    </w:r>
    <w:r w:rsidRPr="00D472C5">
      <w:rPr>
        <w:sz w:val="22"/>
      </w:rPr>
      <w:instrText xml:space="preserve"> SET m_public_font11 </w:instrText>
    </w:r>
    <w:r w:rsidRPr="00D472C5">
      <w:rPr>
        <w:noProof/>
        <w:sz w:val="22"/>
      </w:rPr>
      <w:instrText>Public</w:instrText>
    </w:r>
    <w:r w:rsidRPr="00D472C5">
      <w:rPr>
        <w:sz w:val="22"/>
      </w:rPr>
      <w:instrText xml:space="preserve"> </w:instrText>
    </w:r>
    <w:r>
      <w:rPr>
        <w:sz w:val="22"/>
      </w:rPr>
      <w:fldChar w:fldCharType="separate"/>
    </w:r>
    <w:bookmarkStart w:id="10" w:name="m_public_font11"/>
    <w:r w:rsidRPr="00D472C5">
      <w:rPr>
        <w:noProof/>
        <w:sz w:val="22"/>
      </w:rPr>
      <w:t>Public</w:t>
    </w:r>
    <w:bookmarkEnd w:id="10"/>
    <w:r w:rsidRPr="00D472C5">
      <w:rPr>
        <w:sz w:val="22"/>
      </w:rPr>
      <w:fldChar w:fldCharType="end"/>
    </w:r>
    <w:r w:rsidRPr="005C58B2">
      <w:rPr>
        <w:sz w:val="8"/>
        <w:szCs w:val="8"/>
      </w:rPr>
      <w:fldChar w:fldCharType="begin"/>
    </w:r>
    <w:r w:rsidRPr="005C58B2">
      <w:rPr>
        <w:sz w:val="8"/>
        <w:szCs w:val="8"/>
      </w:rPr>
      <w:instrText xml:space="preserve"> SET m_total_font4 </w:instrText>
    </w:r>
    <w:r w:rsidRPr="005C58B2">
      <w:rPr>
        <w:noProof/>
        <w:sz w:val="8"/>
        <w:szCs w:val="8"/>
      </w:rPr>
      <w:instrText>Total</w:instrText>
    </w:r>
    <w:r w:rsidRPr="005C58B2">
      <w:rPr>
        <w:sz w:val="8"/>
        <w:szCs w:val="8"/>
      </w:rPr>
      <w:instrText xml:space="preserve"> </w:instrText>
    </w:r>
    <w:r>
      <w:rPr>
        <w:sz w:val="8"/>
        <w:szCs w:val="8"/>
      </w:rPr>
      <w:fldChar w:fldCharType="separate"/>
    </w:r>
    <w:bookmarkStart w:id="11" w:name="m_total_font4"/>
    <w:r w:rsidRPr="005C58B2">
      <w:rPr>
        <w:noProof/>
        <w:sz w:val="8"/>
        <w:szCs w:val="8"/>
      </w:rPr>
      <w:t>Total</w:t>
    </w:r>
    <w:bookmarkEnd w:id="11"/>
    <w:r w:rsidRPr="005C58B2">
      <w:rPr>
        <w:sz w:val="8"/>
        <w:szCs w:val="8"/>
      </w:rPr>
      <w:fldChar w:fldCharType="end"/>
    </w:r>
    <w:r w:rsidRPr="000B32AE">
      <w:rPr>
        <w:sz w:val="10"/>
        <w:szCs w:val="10"/>
      </w:rPr>
      <w:fldChar w:fldCharType="begin"/>
    </w:r>
    <w:r w:rsidRPr="000B32AE">
      <w:rPr>
        <w:sz w:val="10"/>
        <w:szCs w:val="10"/>
      </w:rPr>
      <w:instrText xml:space="preserve"> SET m_total_font5 </w:instrText>
    </w:r>
    <w:r w:rsidRPr="000B32AE">
      <w:rPr>
        <w:noProof/>
        <w:sz w:val="10"/>
        <w:szCs w:val="10"/>
      </w:rPr>
      <w:instrText>Total</w:instrText>
    </w:r>
    <w:r w:rsidRPr="000B32AE">
      <w:rPr>
        <w:sz w:val="10"/>
        <w:szCs w:val="10"/>
      </w:rPr>
      <w:instrText xml:space="preserve"> </w:instrText>
    </w:r>
    <w:r>
      <w:rPr>
        <w:sz w:val="10"/>
        <w:szCs w:val="10"/>
      </w:rPr>
      <w:fldChar w:fldCharType="separate"/>
    </w:r>
    <w:bookmarkStart w:id="12" w:name="m_total_font5"/>
    <w:r w:rsidRPr="000B32AE">
      <w:rPr>
        <w:noProof/>
        <w:sz w:val="10"/>
        <w:szCs w:val="10"/>
      </w:rPr>
      <w:t>Total</w:t>
    </w:r>
    <w:bookmarkEnd w:id="12"/>
    <w:r w:rsidRPr="000B32AE">
      <w:rPr>
        <w:sz w:val="10"/>
        <w:szCs w:val="10"/>
      </w:rPr>
      <w:fldChar w:fldCharType="end"/>
    </w:r>
    <w:r w:rsidRPr="00D32C32">
      <w:rPr>
        <w:sz w:val="16"/>
        <w:szCs w:val="16"/>
      </w:rPr>
      <w:fldChar w:fldCharType="begin"/>
    </w:r>
    <w:r w:rsidRPr="00D32C32">
      <w:rPr>
        <w:sz w:val="16"/>
        <w:szCs w:val="16"/>
      </w:rPr>
      <w:instrText xml:space="preserve"> SET m_total_font8 </w:instrText>
    </w:r>
    <w:r w:rsidRPr="00D32C32">
      <w:rPr>
        <w:noProof/>
        <w:sz w:val="16"/>
        <w:szCs w:val="16"/>
      </w:rPr>
      <w:instrText>Total</w:instrText>
    </w:r>
    <w:r w:rsidRPr="00D32C32">
      <w:rPr>
        <w:sz w:val="16"/>
        <w:szCs w:val="16"/>
      </w:rPr>
      <w:instrText xml:space="preserve"> </w:instrText>
    </w:r>
    <w:r w:rsidRPr="00D32C32">
      <w:rPr>
        <w:sz w:val="16"/>
        <w:szCs w:val="16"/>
      </w:rPr>
      <w:fldChar w:fldCharType="separate"/>
    </w:r>
    <w:bookmarkStart w:id="13" w:name="m_total_font8"/>
    <w:r w:rsidRPr="00D32C32">
      <w:rPr>
        <w:noProof/>
        <w:sz w:val="16"/>
        <w:szCs w:val="16"/>
      </w:rPr>
      <w:t>Total</w:t>
    </w:r>
    <w:bookmarkEnd w:id="13"/>
    <w:r w:rsidRPr="00D32C32">
      <w:rPr>
        <w:sz w:val="16"/>
        <w:szCs w:val="16"/>
      </w:rPr>
      <w:fldChar w:fldCharType="end"/>
    </w:r>
    <w:r w:rsidRPr="007C1D98">
      <w:rPr>
        <w:sz w:val="18"/>
        <w:szCs w:val="18"/>
      </w:rPr>
      <w:fldChar w:fldCharType="begin"/>
    </w:r>
    <w:r w:rsidRPr="007C1D98">
      <w:rPr>
        <w:sz w:val="18"/>
        <w:szCs w:val="18"/>
      </w:rPr>
      <w:instrText xml:space="preserve"> SET m_total</w:instrText>
    </w:r>
    <w:r>
      <w:rPr>
        <w:sz w:val="18"/>
        <w:szCs w:val="18"/>
      </w:rPr>
      <w:instrText>_font9</w:instrText>
    </w:r>
    <w:r w:rsidRPr="007C1D98">
      <w:rPr>
        <w:sz w:val="18"/>
        <w:szCs w:val="18"/>
      </w:rPr>
      <w:instrText xml:space="preserve"> </w:instrText>
    </w:r>
    <w:r>
      <w:rPr>
        <w:noProof/>
        <w:sz w:val="18"/>
        <w:szCs w:val="18"/>
      </w:rPr>
      <w:instrText>Total</w:instrText>
    </w:r>
    <w:r w:rsidRPr="007C1D98">
      <w:rPr>
        <w:sz w:val="18"/>
        <w:szCs w:val="18"/>
      </w:rPr>
      <w:instrText xml:space="preserve"> </w:instrText>
    </w:r>
    <w:r w:rsidRPr="007C1D98">
      <w:rPr>
        <w:sz w:val="18"/>
        <w:szCs w:val="18"/>
      </w:rPr>
      <w:fldChar w:fldCharType="separate"/>
    </w:r>
    <w:bookmarkStart w:id="14" w:name="m_total_font9"/>
    <w:r>
      <w:rPr>
        <w:noProof/>
        <w:sz w:val="18"/>
        <w:szCs w:val="18"/>
      </w:rPr>
      <w:t>Total</w:t>
    </w:r>
    <w:bookmarkEnd w:id="14"/>
    <w:r w:rsidRPr="007C1D98">
      <w:rPr>
        <w:sz w:val="18"/>
        <w:szCs w:val="18"/>
      </w:rPr>
      <w:fldChar w:fldCharType="end"/>
    </w:r>
    <w:r w:rsidRPr="00D472C5">
      <w:rPr>
        <w:sz w:val="22"/>
      </w:rPr>
      <w:fldChar w:fldCharType="begin"/>
    </w:r>
    <w:r w:rsidRPr="00D472C5">
      <w:rPr>
        <w:sz w:val="22"/>
      </w:rPr>
      <w:instrText xml:space="preserve"> SET m_total_font11 </w:instrText>
    </w:r>
    <w:r w:rsidRPr="00D472C5">
      <w:rPr>
        <w:noProof/>
        <w:sz w:val="22"/>
      </w:rPr>
      <w:instrText>Total</w:instrText>
    </w:r>
    <w:r w:rsidRPr="00D472C5">
      <w:rPr>
        <w:sz w:val="22"/>
      </w:rPr>
      <w:instrText xml:space="preserve"> </w:instrText>
    </w:r>
    <w:r>
      <w:rPr>
        <w:sz w:val="22"/>
      </w:rPr>
      <w:fldChar w:fldCharType="separate"/>
    </w:r>
    <w:bookmarkStart w:id="15" w:name="m_total_font11"/>
    <w:r w:rsidRPr="00D472C5">
      <w:rPr>
        <w:noProof/>
        <w:sz w:val="22"/>
      </w:rPr>
      <w:t>Total</w:t>
    </w:r>
    <w:bookmarkEnd w:id="15"/>
    <w:r w:rsidRPr="00D472C5">
      <w:rPr>
        <w:sz w:val="22"/>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44B6">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HeaderLandscape"/>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HeaderLandscape"/>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AA1B27" w:rsidP="00426349">
    <w:pPr>
      <w:pStyle w:val="Head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AA1B27" w:rsidP="00426349">
    <w:pPr>
      <w:pStyle w:val="HeaderLandscape"/>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009" w:rsidRPr="007C3041" w:rsidP="00426349">
    <w:pPr>
      <w:pStyle w:val="HeaderLandscap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FFFFFF81"/>
    <w:multiLevelType w:val="singleLevel"/>
    <w:tmpl w:val="B41412E0"/>
    <w:lvl w:ilvl="0">
      <w:start w:val="1"/>
      <w:numFmt w:val="bullet"/>
      <w:pStyle w:val="BodyTextFirstIndentChar"/>
      <w:lvlText w:val=""/>
      <w:lvlJc w:val="left"/>
      <w:pPr>
        <w:tabs>
          <w:tab w:val="num" w:pos="1209"/>
        </w:tabs>
        <w:ind w:left="1209" w:hanging="360"/>
      </w:pPr>
      <w:rPr>
        <w:rFonts w:ascii="Symbol" w:hAnsi="Symbol" w:hint="default"/>
      </w:rPr>
    </w:lvl>
  </w:abstractNum>
  <w:abstractNum w:abstractNumId="3">
    <w:nsid w:val="FFFFFF83"/>
    <w:multiLevelType w:val="singleLevel"/>
    <w:tmpl w:val="75884E56"/>
    <w:lvl w:ilvl="0">
      <w:start w:val="1"/>
      <w:numFmt w:val="bullet"/>
      <w:pStyle w:val="BodyTextFirstIndent"/>
      <w:lvlText w:val=""/>
      <w:lvlJc w:val="left"/>
      <w:pPr>
        <w:tabs>
          <w:tab w:val="num" w:pos="643"/>
        </w:tabs>
        <w:ind w:left="643" w:hanging="360"/>
      </w:pPr>
      <w:rPr>
        <w:rFonts w:ascii="Symbol" w:hAnsi="Symbol" w:hint="default"/>
      </w:rPr>
    </w:lvl>
  </w:abstractNum>
  <w:abstractNum w:abstractNumId="4">
    <w:nsid w:val="FFFFFF89"/>
    <w:multiLevelType w:val="singleLevel"/>
    <w:tmpl w:val="DF5EBB7E"/>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nsid w:val="10413672"/>
    <w:multiLevelType w:val="hybridMultilevel"/>
    <w:tmpl w:val="82EC22FC"/>
    <w:lvl w:ilvl="0">
      <w:start w:val="1"/>
      <w:numFmt w:val="decimal"/>
      <w:pStyle w:val="StyleHeading1Left0cm"/>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8">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9">
    <w:nsid w:val="1B3C78B8"/>
    <w:multiLevelType w:val="multilevel"/>
    <w:tmpl w:val="2ED4F4D0"/>
    <w:name w:val="Point"/>
    <w:lvl w:ilvl="0">
      <w:start w:val="1"/>
      <w:numFmt w:val="decimal"/>
      <w:pStyle w:val="PartTitle"/>
      <w:lvlText w:val="(%1)"/>
      <w:lvlJc w:val="left"/>
      <w:pPr>
        <w:tabs>
          <w:tab w:val="num" w:pos="850"/>
        </w:tabs>
        <w:ind w:left="850" w:hanging="850"/>
      </w:pPr>
    </w:lvl>
    <w:lvl w:ilvl="1">
      <w:start w:val="1"/>
      <w:numFmt w:val="lowerLetter"/>
      <w:pStyle w:val="Point0number"/>
      <w:lvlText w:val="(%2)"/>
      <w:lvlJc w:val="left"/>
      <w:pPr>
        <w:tabs>
          <w:tab w:val="num" w:pos="850"/>
        </w:tabs>
        <w:ind w:left="850" w:hanging="850"/>
      </w:pPr>
    </w:lvl>
    <w:lvl w:ilvl="2">
      <w:start w:val="1"/>
      <w:numFmt w:val="decimal"/>
      <w:pStyle w:val="Personnequisigne"/>
      <w:lvlText w:val="(%3)"/>
      <w:lvlJc w:val="left"/>
      <w:pPr>
        <w:tabs>
          <w:tab w:val="num" w:pos="1417"/>
        </w:tabs>
        <w:ind w:left="1417" w:hanging="567"/>
      </w:pPr>
    </w:lvl>
    <w:lvl w:ilvl="3">
      <w:start w:val="1"/>
      <w:numFmt w:val="lowerLetter"/>
      <w:pStyle w:val="Point1"/>
      <w:lvlText w:val="(%4)"/>
      <w:lvlJc w:val="left"/>
      <w:pPr>
        <w:tabs>
          <w:tab w:val="num" w:pos="1417"/>
        </w:tabs>
        <w:ind w:left="1417" w:hanging="567"/>
      </w:pPr>
    </w:lvl>
    <w:lvl w:ilvl="4">
      <w:start w:val="1"/>
      <w:numFmt w:val="decimal"/>
      <w:pStyle w:val="Point0"/>
      <w:lvlText w:val="(%5)"/>
      <w:lvlJc w:val="left"/>
      <w:pPr>
        <w:tabs>
          <w:tab w:val="num" w:pos="1984"/>
        </w:tabs>
        <w:ind w:left="1984" w:hanging="567"/>
      </w:pPr>
    </w:lvl>
    <w:lvl w:ilvl="5">
      <w:start w:val="1"/>
      <w:numFmt w:val="lowerLetter"/>
      <w:pStyle w:val="Point1letter"/>
      <w:lvlText w:val="(%6)"/>
      <w:lvlJc w:val="left"/>
      <w:pPr>
        <w:tabs>
          <w:tab w:val="num" w:pos="1984"/>
        </w:tabs>
        <w:ind w:left="1984" w:hanging="567"/>
      </w:pPr>
    </w:lvl>
    <w:lvl w:ilvl="6">
      <w:start w:val="1"/>
      <w:numFmt w:val="decimal"/>
      <w:pStyle w:val="Point0letter"/>
      <w:lvlText w:val="(%7)"/>
      <w:lvlJc w:val="left"/>
      <w:pPr>
        <w:tabs>
          <w:tab w:val="num" w:pos="2551"/>
        </w:tabs>
        <w:ind w:left="2551" w:hanging="567"/>
      </w:pPr>
    </w:lvl>
    <w:lvl w:ilvl="7">
      <w:start w:val="1"/>
      <w:numFmt w:val="lowerLetter"/>
      <w:pStyle w:val="Point1number"/>
      <w:lvlText w:val="(%8)"/>
      <w:lvlJc w:val="left"/>
      <w:pPr>
        <w:tabs>
          <w:tab w:val="num" w:pos="2551"/>
        </w:tabs>
        <w:ind w:left="2551" w:hanging="567"/>
      </w:pPr>
    </w:lvl>
    <w:lvl w:ilvl="8">
      <w:start w:val="1"/>
      <w:numFmt w:val="lowerLetter"/>
      <w:pStyle w:val="Point2"/>
      <w:lvlText w:val="(%9)"/>
      <w:lvlJc w:val="left"/>
      <w:pPr>
        <w:tabs>
          <w:tab w:val="num" w:pos="3118"/>
        </w:tabs>
        <w:ind w:left="3118" w:hanging="567"/>
      </w:pPr>
    </w:lvl>
  </w:abstractNum>
  <w:abstractNum w:abstractNumId="10">
    <w:nsid w:val="1CA6495F"/>
    <w:multiLevelType w:val="hybridMultilevel"/>
    <w:tmpl w:val="F19CAA0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2E44180"/>
    <w:multiLevelType w:val="multilevel"/>
    <w:tmpl w:val="DFC88CEC"/>
    <w:name w:val="NumPar"/>
    <w:lvl w:ilvl="0">
      <w:start w:val="1"/>
      <w:numFmt w:val="decimal"/>
      <w:pStyle w:val="ManualHeading3"/>
      <w:lvlText w:val="%1."/>
      <w:lvlJc w:val="left"/>
      <w:pPr>
        <w:tabs>
          <w:tab w:val="num" w:pos="850"/>
        </w:tabs>
        <w:ind w:left="850" w:hanging="850"/>
      </w:pPr>
    </w:lvl>
    <w:lvl w:ilvl="1">
      <w:start w:val="1"/>
      <w:numFmt w:val="decimal"/>
      <w:pStyle w:val="ManualHeading4"/>
      <w:lvlText w:val="%1.%2."/>
      <w:lvlJc w:val="left"/>
      <w:pPr>
        <w:tabs>
          <w:tab w:val="num" w:pos="850"/>
        </w:tabs>
        <w:ind w:left="850" w:hanging="850"/>
      </w:pPr>
    </w:lvl>
    <w:lvl w:ilvl="2">
      <w:start w:val="1"/>
      <w:numFmt w:val="decimal"/>
      <w:pStyle w:val="ManualNumPar1"/>
      <w:lvlText w:val="%1.%2.%3."/>
      <w:lvlJc w:val="left"/>
      <w:pPr>
        <w:tabs>
          <w:tab w:val="num" w:pos="850"/>
        </w:tabs>
        <w:ind w:left="850" w:hanging="850"/>
      </w:pPr>
    </w:lvl>
    <w:lvl w:ilvl="3">
      <w:start w:val="1"/>
      <w:numFmt w:val="decimal"/>
      <w:pStyle w:val="ManualNumPar2"/>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3">
    <w:nsid w:val="2AF76E7A"/>
    <w:multiLevelType w:val="singleLevel"/>
    <w:tmpl w:val="C74C5A32"/>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14">
    <w:nsid w:val="2C8D5AD3"/>
    <w:multiLevelType w:val="singleLevel"/>
    <w:tmpl w:val="82EE6B70"/>
    <w:lvl w:ilvl="0">
      <w:start w:val="1"/>
      <w:numFmt w:val="bullet"/>
      <w:pStyle w:val="ListBullet2"/>
      <w:lvlText w:val=""/>
      <w:lvlJc w:val="left"/>
      <w:pPr>
        <w:tabs>
          <w:tab w:val="num" w:pos="1360"/>
        </w:tabs>
        <w:ind w:left="1360" w:hanging="283"/>
      </w:pPr>
      <w:rPr>
        <w:rFonts w:ascii="Symbol" w:hAnsi="Symbol"/>
      </w:rPr>
    </w:lvl>
  </w:abstractNum>
  <w:abstractNum w:abstractNumId="15">
    <w:nsid w:val="3A5459E8"/>
    <w:multiLevelType w:val="singleLevel"/>
    <w:tmpl w:val="2188C922"/>
    <w:name w:val="Tiret 1"/>
    <w:lvl w:ilvl="0">
      <w:start w:val="1"/>
      <w:numFmt w:val="bullet"/>
      <w:pStyle w:val="Tiret1"/>
      <w:lvlText w:val="–"/>
      <w:lvlJc w:val="left"/>
      <w:pPr>
        <w:tabs>
          <w:tab w:val="num" w:pos="1417"/>
        </w:tabs>
        <w:ind w:left="1417" w:hanging="567"/>
      </w:pPr>
    </w:lvl>
  </w:abstractNum>
  <w:abstractNum w:abstractNumId="16">
    <w:nsid w:val="3BA736C9"/>
    <w:multiLevelType w:val="singleLevel"/>
    <w:tmpl w:val="F00A6C0C"/>
    <w:name w:val="Tiret 0"/>
    <w:lvl w:ilvl="0">
      <w:start w:val="1"/>
      <w:numFmt w:val="bullet"/>
      <w:pStyle w:val="Tiret0"/>
      <w:lvlText w:val="–"/>
      <w:lvlJc w:val="left"/>
      <w:pPr>
        <w:tabs>
          <w:tab w:val="num" w:pos="850"/>
        </w:tabs>
        <w:ind w:left="850" w:hanging="850"/>
      </w:pPr>
    </w:lvl>
  </w:abstractNum>
  <w:abstractNum w:abstractNumId="17">
    <w:nsid w:val="3C90278F"/>
    <w:multiLevelType w:val="singleLevel"/>
    <w:tmpl w:val="0FE08974"/>
    <w:name w:val="Tiret 3"/>
    <w:lvl w:ilvl="0">
      <w:start w:val="1"/>
      <w:numFmt w:val="bullet"/>
      <w:pStyle w:val="Tiret3"/>
      <w:lvlText w:val="–"/>
      <w:lvlJc w:val="left"/>
      <w:pPr>
        <w:tabs>
          <w:tab w:val="num" w:pos="2551"/>
        </w:tabs>
        <w:ind w:left="2551" w:hanging="567"/>
      </w:pPr>
    </w:lvl>
  </w:abstractNum>
  <w:abstractNum w:abstractNumId="18">
    <w:nsid w:val="428415E7"/>
    <w:multiLevelType w:val="multilevel"/>
    <w:tmpl w:val="92100ADA"/>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8842C30"/>
    <w:multiLevelType w:val="singleLevel"/>
    <w:tmpl w:val="4FA60B9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2">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4593082"/>
    <w:multiLevelType w:val="singleLevel"/>
    <w:tmpl w:val="EDE069AC"/>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4">
    <w:nsid w:val="568864DC"/>
    <w:multiLevelType w:val="singleLevel"/>
    <w:tmpl w:val="485EBDAC"/>
    <w:name w:val="Tiret 4"/>
    <w:lvl w:ilvl="0">
      <w:start w:val="1"/>
      <w:numFmt w:val="bullet"/>
      <w:pStyle w:val="Tiret4"/>
      <w:lvlText w:val="–"/>
      <w:lvlJc w:val="left"/>
      <w:pPr>
        <w:tabs>
          <w:tab w:val="num" w:pos="3118"/>
        </w:tabs>
        <w:ind w:left="3118" w:hanging="567"/>
      </w:pPr>
    </w:lvl>
  </w:abstractNum>
  <w:abstractNum w:abstractNumId="25">
    <w:nsid w:val="5F342530"/>
    <w:multiLevelType w:val="singleLevel"/>
    <w:tmpl w:val="D5444702"/>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26">
    <w:nsid w:val="5F9C40AA"/>
    <w:multiLevelType w:val="singleLevel"/>
    <w:tmpl w:val="B89CB5A2"/>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7">
    <w:nsid w:val="62970F71"/>
    <w:multiLevelType w:val="singleLevel"/>
    <w:tmpl w:val="5AFA8C72"/>
    <w:name w:val="Tiret 2"/>
    <w:lvl w:ilvl="0">
      <w:start w:val="1"/>
      <w:numFmt w:val="bullet"/>
      <w:pStyle w:val="Tiret2"/>
      <w:lvlText w:val="–"/>
      <w:lvlJc w:val="left"/>
      <w:pPr>
        <w:tabs>
          <w:tab w:val="num" w:pos="1984"/>
        </w:tabs>
        <w:ind w:left="1984" w:hanging="567"/>
      </w:pPr>
    </w:lvl>
  </w:abstractNum>
  <w:abstractNum w:abstractNumId="28">
    <w:nsid w:val="64A12FA4"/>
    <w:multiLevelType w:val="multilevel"/>
    <w:tmpl w:val="E1948A0A"/>
    <w:name w:val="Heading"/>
    <w:lvl w:ilvl="0">
      <w:start w:val="2"/>
      <w:numFmt w:val="decimal"/>
      <w:pStyle w:val="Heading1"/>
      <w:lvlText w:val="%1."/>
      <w:lvlJc w:val="left"/>
      <w:pPr>
        <w:tabs>
          <w:tab w:val="num" w:pos="992"/>
        </w:tabs>
        <w:ind w:left="992" w:hanging="850"/>
      </w:pPr>
      <w:rPr>
        <w:rFonts w:hint="default"/>
      </w:rPr>
    </w:lvl>
    <w:lvl w:ilvl="1">
      <w:start w:val="1"/>
      <w:numFmt w:val="decimal"/>
      <w:pStyle w:val="Heading2"/>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rPr>
    </w:lvl>
    <w:lvl w:ilvl="3">
      <w:start w:val="1"/>
      <w:numFmt w:val="decimal"/>
      <w:pStyle w:val="Heading4"/>
      <w:lvlText w:val="%1.%2.%3.%4."/>
      <w:lvlJc w:val="left"/>
      <w:pPr>
        <w:tabs>
          <w:tab w:val="num" w:pos="850"/>
        </w:tabs>
        <w:ind w:left="850" w:hanging="85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3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31">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32">
    <w:nsid w:val="69995580"/>
    <w:multiLevelType w:val="singleLevel"/>
    <w:tmpl w:val="75CC7CBA"/>
    <w:name w:val="Considérant"/>
    <w:lvl w:ilvl="0">
      <w:start w:val="1"/>
      <w:numFmt w:val="decimal"/>
      <w:pStyle w:val="Considrant"/>
      <w:lvlText w:val="(%1)"/>
      <w:lvlJc w:val="left"/>
      <w:pPr>
        <w:tabs>
          <w:tab w:val="num" w:pos="709"/>
        </w:tabs>
        <w:ind w:left="709" w:hanging="709"/>
      </w:pPr>
    </w:lvl>
  </w:abstractNum>
  <w:abstractNum w:abstractNumId="33">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4">
    <w:nsid w:val="711167E2"/>
    <w:multiLevelType w:val="multilevel"/>
    <w:tmpl w:val="C3843A7A"/>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75C26F71"/>
    <w:multiLevelType w:val="multilevel"/>
    <w:tmpl w:val="E01E7708"/>
    <w:lvl w:ilvl="0">
      <w:start w:val="1"/>
      <w:numFmt w:val="decimal"/>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6BC5C11"/>
    <w:multiLevelType w:val="singleLevel"/>
    <w:tmpl w:val="E44CE82E"/>
    <w:name w:val="List Dash 4"/>
    <w:lvl w:ilvl="0">
      <w:start w:val="1"/>
      <w:numFmt w:val="bullet"/>
      <w:pStyle w:val="BlockText"/>
      <w:lvlText w:val=""/>
      <w:lvlJc w:val="left"/>
      <w:pPr>
        <w:tabs>
          <w:tab w:val="num" w:pos="1134"/>
        </w:tabs>
        <w:ind w:left="1134" w:hanging="283"/>
      </w:pPr>
      <w:rPr>
        <w:rFonts w:ascii="Symbol" w:hAnsi="Symbol" w:hint="default"/>
      </w:rPr>
    </w:lvl>
  </w:abstractNum>
  <w:abstractNum w:abstractNumId="37">
    <w:nsid w:val="7BE95D7F"/>
    <w:multiLevelType w:val="multilevel"/>
    <w:tmpl w:val="F126F780"/>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38">
    <w:nsid w:val="7F85659D"/>
    <w:multiLevelType w:val="hybridMultilevel"/>
    <w:tmpl w:val="E8B64CC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7F85659E"/>
    <w:multiLevelType w:val="hybridMultilevel"/>
    <w:tmpl w:val="7F85659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0">
    <w:nsid w:val="7F85659F"/>
    <w:multiLevelType w:val="hybridMultilevel"/>
    <w:tmpl w:val="7F85659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nsid w:val="7F8565A0"/>
    <w:multiLevelType w:val="hybridMultilevel"/>
    <w:tmpl w:val="7F8565A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2">
    <w:nsid w:val="7F8565A1"/>
    <w:multiLevelType w:val="hybridMultilevel"/>
    <w:tmpl w:val="7F8565A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3">
    <w:nsid w:val="7F8565A2"/>
    <w:multiLevelType w:val="hybridMultilevel"/>
    <w:tmpl w:val="7F8565A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4">
    <w:nsid w:val="7F8565A3"/>
    <w:multiLevelType w:val="hybridMultilevel"/>
    <w:tmpl w:val="7F8565A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5">
    <w:nsid w:val="7F8565A4"/>
    <w:multiLevelType w:val="hybridMultilevel"/>
    <w:tmpl w:val="7F8565A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6">
    <w:nsid w:val="7F8565A5"/>
    <w:multiLevelType w:val="hybridMultilevel"/>
    <w:tmpl w:val="7F8565A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7">
    <w:nsid w:val="7F8565A6"/>
    <w:multiLevelType w:val="hybridMultilevel"/>
    <w:tmpl w:val="7F8565A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8">
    <w:nsid w:val="7F8565A7"/>
    <w:multiLevelType w:val="hybridMultilevel"/>
    <w:tmpl w:val="7F8565A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9">
    <w:nsid w:val="7F8565A8"/>
    <w:multiLevelType w:val="hybridMultilevel"/>
    <w:tmpl w:val="7F8565A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0">
    <w:nsid w:val="7F8565A9"/>
    <w:multiLevelType w:val="hybridMultilevel"/>
    <w:tmpl w:val="7F8565A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1">
    <w:nsid w:val="7F8565AA"/>
    <w:multiLevelType w:val="hybridMultilevel"/>
    <w:tmpl w:val="7F8565A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2">
    <w:nsid w:val="7F8565AB"/>
    <w:multiLevelType w:val="hybridMultilevel"/>
    <w:tmpl w:val="7F8565A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3">
    <w:nsid w:val="7F8565AC"/>
    <w:multiLevelType w:val="hybridMultilevel"/>
    <w:tmpl w:val="7F8565A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4">
    <w:nsid w:val="7F8565AD"/>
    <w:multiLevelType w:val="hybridMultilevel"/>
    <w:tmpl w:val="7F8565A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5">
    <w:nsid w:val="7F8565AE"/>
    <w:multiLevelType w:val="hybridMultilevel"/>
    <w:tmpl w:val="7F8565A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6">
    <w:nsid w:val="7F8565AF"/>
    <w:multiLevelType w:val="hybridMultilevel"/>
    <w:tmpl w:val="7F8565A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7">
    <w:nsid w:val="7F8565B0"/>
    <w:multiLevelType w:val="hybridMultilevel"/>
    <w:tmpl w:val="7F8565B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8">
    <w:nsid w:val="7F8565B1"/>
    <w:multiLevelType w:val="hybridMultilevel"/>
    <w:tmpl w:val="7F8565B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9">
    <w:nsid w:val="7F8565B2"/>
    <w:multiLevelType w:val="hybridMultilevel"/>
    <w:tmpl w:val="7F8565B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0">
    <w:nsid w:val="7F8565B3"/>
    <w:multiLevelType w:val="multilevel"/>
    <w:tmpl w:val="7F8565B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1">
    <w:nsid w:val="7F8565B4"/>
    <w:multiLevelType w:val="hybridMultilevel"/>
    <w:tmpl w:val="7F8565B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2">
    <w:nsid w:val="7F8565B5"/>
    <w:multiLevelType w:val="multilevel"/>
    <w:tmpl w:val="7F8565B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3">
    <w:nsid w:val="7F8565B6"/>
    <w:multiLevelType w:val="multilevel"/>
    <w:tmpl w:val="7F8565B6"/>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7F8565B7"/>
    <w:multiLevelType w:val="multilevel"/>
    <w:tmpl w:val="7F8565B7"/>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5">
    <w:nsid w:val="7F8565B8"/>
    <w:multiLevelType w:val="multilevel"/>
    <w:tmpl w:val="7F8565B8"/>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6">
    <w:nsid w:val="7F8565B9"/>
    <w:multiLevelType w:val="multilevel"/>
    <w:tmpl w:val="7F8565B9"/>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nsid w:val="7F8565BA"/>
    <w:multiLevelType w:val="multilevel"/>
    <w:tmpl w:val="7F8565BA"/>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8">
    <w:nsid w:val="7F8565BB"/>
    <w:multiLevelType w:val="multilevel"/>
    <w:tmpl w:val="7F8565BB"/>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9">
    <w:nsid w:val="7F8565BC"/>
    <w:multiLevelType w:val="multilevel"/>
    <w:tmpl w:val="7F8565BC"/>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0">
    <w:nsid w:val="7F8565BD"/>
    <w:multiLevelType w:val="hybridMultilevel"/>
    <w:tmpl w:val="7F8565B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1">
    <w:nsid w:val="7F8565BE"/>
    <w:multiLevelType w:val="hybridMultilevel"/>
    <w:tmpl w:val="7F8565B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7F8565BF"/>
    <w:multiLevelType w:val="hybridMultilevel"/>
    <w:tmpl w:val="7F8565B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3">
    <w:nsid w:val="7F8565C0"/>
    <w:multiLevelType w:val="hybridMultilevel"/>
    <w:tmpl w:val="7F8565C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4">
    <w:nsid w:val="7F8565C1"/>
    <w:multiLevelType w:val="hybridMultilevel"/>
    <w:tmpl w:val="7F8565C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5">
    <w:nsid w:val="7F8565C2"/>
    <w:multiLevelType w:val="hybridMultilevel"/>
    <w:tmpl w:val="7F8565C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6">
    <w:nsid w:val="7F8565C3"/>
    <w:multiLevelType w:val="hybridMultilevel"/>
    <w:tmpl w:val="7F8565C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7">
    <w:nsid w:val="7F8565C4"/>
    <w:multiLevelType w:val="hybridMultilevel"/>
    <w:tmpl w:val="7F8565C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8">
    <w:nsid w:val="7F8565C5"/>
    <w:multiLevelType w:val="hybridMultilevel"/>
    <w:tmpl w:val="7F8565C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9">
    <w:nsid w:val="7F8565C6"/>
    <w:multiLevelType w:val="hybridMultilevel"/>
    <w:tmpl w:val="7F8565C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0">
    <w:nsid w:val="7F8565C7"/>
    <w:multiLevelType w:val="hybridMultilevel"/>
    <w:tmpl w:val="7F8565C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1">
    <w:nsid w:val="7F8565C8"/>
    <w:multiLevelType w:val="hybridMultilevel"/>
    <w:tmpl w:val="7F8565C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2">
    <w:nsid w:val="7F8565C9"/>
    <w:multiLevelType w:val="hybridMultilevel"/>
    <w:tmpl w:val="7F8565C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3">
    <w:nsid w:val="7F8565CA"/>
    <w:multiLevelType w:val="hybridMultilevel"/>
    <w:tmpl w:val="7F8565C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4">
    <w:nsid w:val="7F8565CB"/>
    <w:multiLevelType w:val="hybridMultilevel"/>
    <w:tmpl w:val="7F8565C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5">
    <w:nsid w:val="7F8565CC"/>
    <w:multiLevelType w:val="hybridMultilevel"/>
    <w:tmpl w:val="7F8565C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6">
    <w:nsid w:val="7F8565CD"/>
    <w:multiLevelType w:val="hybridMultilevel"/>
    <w:tmpl w:val="7F8565C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7">
    <w:nsid w:val="7F8565CE"/>
    <w:multiLevelType w:val="hybridMultilevel"/>
    <w:tmpl w:val="7F8565C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8">
    <w:nsid w:val="7F8565CF"/>
    <w:multiLevelType w:val="hybridMultilevel"/>
    <w:tmpl w:val="7F8565C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89">
    <w:nsid w:val="7F8565D0"/>
    <w:multiLevelType w:val="hybridMultilevel"/>
    <w:tmpl w:val="7F8565D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0">
    <w:nsid w:val="7F8565D1"/>
    <w:multiLevelType w:val="hybridMultilevel"/>
    <w:tmpl w:val="7F8565D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1">
    <w:nsid w:val="7F8565D2"/>
    <w:multiLevelType w:val="hybridMultilevel"/>
    <w:tmpl w:val="7F8565D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2">
    <w:nsid w:val="7F8565D3"/>
    <w:multiLevelType w:val="hybridMultilevel"/>
    <w:tmpl w:val="7F8565D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3">
    <w:nsid w:val="7F8565D4"/>
    <w:multiLevelType w:val="hybridMultilevel"/>
    <w:tmpl w:val="7F8565D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4">
    <w:nsid w:val="7F8565D5"/>
    <w:multiLevelType w:val="hybridMultilevel"/>
    <w:tmpl w:val="7F8565D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5">
    <w:nsid w:val="7F8565D6"/>
    <w:multiLevelType w:val="hybridMultilevel"/>
    <w:tmpl w:val="7F8565D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6">
    <w:nsid w:val="7F8565D7"/>
    <w:multiLevelType w:val="hybridMultilevel"/>
    <w:tmpl w:val="7F8565D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7">
    <w:nsid w:val="7F8565D8"/>
    <w:multiLevelType w:val="hybridMultilevel"/>
    <w:tmpl w:val="7F8565D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8">
    <w:nsid w:val="7F8565D9"/>
    <w:multiLevelType w:val="hybridMultilevel"/>
    <w:tmpl w:val="7F8565D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99">
    <w:nsid w:val="7F8565DA"/>
    <w:multiLevelType w:val="hybridMultilevel"/>
    <w:tmpl w:val="7F8565D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0">
    <w:nsid w:val="7F8565DB"/>
    <w:multiLevelType w:val="hybridMultilevel"/>
    <w:tmpl w:val="7F8565D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1">
    <w:nsid w:val="7F8565DC"/>
    <w:multiLevelType w:val="hybridMultilevel"/>
    <w:tmpl w:val="7F8565D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2">
    <w:nsid w:val="7F8565DD"/>
    <w:multiLevelType w:val="hybridMultilevel"/>
    <w:tmpl w:val="7F8565D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3">
    <w:nsid w:val="7F8565DE"/>
    <w:multiLevelType w:val="hybridMultilevel"/>
    <w:tmpl w:val="7F8565D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4">
    <w:nsid w:val="7F8565DF"/>
    <w:multiLevelType w:val="hybridMultilevel"/>
    <w:tmpl w:val="7F8565D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5">
    <w:nsid w:val="7F8565E0"/>
    <w:multiLevelType w:val="hybridMultilevel"/>
    <w:tmpl w:val="7F8565E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6">
    <w:nsid w:val="7F8565E1"/>
    <w:multiLevelType w:val="hybridMultilevel"/>
    <w:tmpl w:val="7F8565E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7">
    <w:nsid w:val="7F8565E2"/>
    <w:multiLevelType w:val="hybridMultilevel"/>
    <w:tmpl w:val="7F8565E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8">
    <w:nsid w:val="7F8565E3"/>
    <w:multiLevelType w:val="hybridMultilevel"/>
    <w:tmpl w:val="7F8565E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09">
    <w:nsid w:val="7F8565E4"/>
    <w:multiLevelType w:val="hybridMultilevel"/>
    <w:tmpl w:val="7F8565E4"/>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0">
    <w:nsid w:val="7F8565E5"/>
    <w:multiLevelType w:val="hybridMultilevel"/>
    <w:tmpl w:val="7F8565E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1">
    <w:nsid w:val="7F8565E6"/>
    <w:multiLevelType w:val="hybridMultilevel"/>
    <w:tmpl w:val="7F8565E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2">
    <w:nsid w:val="7F8565E7"/>
    <w:multiLevelType w:val="hybridMultilevel"/>
    <w:tmpl w:val="7F8565E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3">
    <w:nsid w:val="7F8565E8"/>
    <w:multiLevelType w:val="hybridMultilevel"/>
    <w:tmpl w:val="7F8565E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4">
    <w:nsid w:val="7F8565E9"/>
    <w:multiLevelType w:val="hybridMultilevel"/>
    <w:tmpl w:val="7F8565E9"/>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5">
    <w:nsid w:val="7F8565EA"/>
    <w:multiLevelType w:val="hybridMultilevel"/>
    <w:tmpl w:val="7F8565EA"/>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6">
    <w:nsid w:val="7F8565EB"/>
    <w:multiLevelType w:val="hybridMultilevel"/>
    <w:tmpl w:val="7F8565EB"/>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7">
    <w:nsid w:val="7F8565EC"/>
    <w:multiLevelType w:val="hybridMultilevel"/>
    <w:tmpl w:val="7F8565EC"/>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8">
    <w:nsid w:val="7F8565ED"/>
    <w:multiLevelType w:val="hybridMultilevel"/>
    <w:tmpl w:val="7F8565ED"/>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19">
    <w:nsid w:val="7F8565EE"/>
    <w:multiLevelType w:val="hybridMultilevel"/>
    <w:tmpl w:val="7F8565EE"/>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0">
    <w:nsid w:val="7F8565EF"/>
    <w:multiLevelType w:val="hybridMultilevel"/>
    <w:tmpl w:val="7F8565EF"/>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1">
    <w:nsid w:val="7F8565F0"/>
    <w:multiLevelType w:val="hybridMultilevel"/>
    <w:tmpl w:val="7F8565F0"/>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2">
    <w:nsid w:val="7F8565F1"/>
    <w:multiLevelType w:val="hybridMultilevel"/>
    <w:tmpl w:val="7F8565F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3">
    <w:nsid w:val="7F8565F2"/>
    <w:multiLevelType w:val="hybridMultilevel"/>
    <w:tmpl w:val="7F8565F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4">
    <w:nsid w:val="7F8565F3"/>
    <w:multiLevelType w:val="hybridMultilevel"/>
    <w:tmpl w:val="7F8565F3"/>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5">
    <w:nsid w:val="7F8565F4"/>
    <w:multiLevelType w:val="multilevel"/>
    <w:tmpl w:val="7F8565F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6">
    <w:nsid w:val="7F8565F5"/>
    <w:multiLevelType w:val="hybridMultilevel"/>
    <w:tmpl w:val="7F8565F5"/>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7">
    <w:nsid w:val="7F8565F6"/>
    <w:multiLevelType w:val="hybridMultilevel"/>
    <w:tmpl w:val="7F8565F6"/>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8">
    <w:nsid w:val="7F8565F7"/>
    <w:multiLevelType w:val="hybridMultilevel"/>
    <w:tmpl w:val="7F8565F7"/>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9">
    <w:nsid w:val="7F8565F8"/>
    <w:multiLevelType w:val="hybridMultilevel"/>
    <w:tmpl w:val="7F8565F8"/>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23"/>
  </w:num>
  <w:num w:numId="2">
    <w:abstractNumId w:val="13"/>
  </w:num>
  <w:num w:numId="3">
    <w:abstractNumId w:val="26"/>
  </w:num>
  <w:num w:numId="4">
    <w:abstractNumId w:val="25"/>
  </w:num>
  <w:num w:numId="5">
    <w:abstractNumId w:val="21"/>
  </w:num>
  <w:num w:numId="6">
    <w:abstractNumId w:val="32"/>
  </w:num>
  <w:num w:numId="7">
    <w:abstractNumId w:val="35"/>
  </w:num>
  <w:num w:numId="8">
    <w:abstractNumId w:val="34"/>
  </w:num>
  <w:num w:numId="9">
    <w:abstractNumId w:val="37"/>
  </w:num>
  <w:num w:numId="10">
    <w:abstractNumId w:val="16"/>
  </w:num>
  <w:num w:numId="11">
    <w:abstractNumId w:val="15"/>
  </w:num>
  <w:num w:numId="12">
    <w:abstractNumId w:val="27"/>
  </w:num>
  <w:num w:numId="13">
    <w:abstractNumId w:val="17"/>
  </w:num>
  <w:num w:numId="14">
    <w:abstractNumId w:val="24"/>
  </w:num>
  <w:num w:numId="15">
    <w:abstractNumId w:val="28"/>
  </w:num>
  <w:num w:numId="16">
    <w:abstractNumId w:val="1"/>
  </w:num>
  <w:num w:numId="17">
    <w:abstractNumId w:val="0"/>
  </w:num>
  <w:num w:numId="18">
    <w:abstractNumId w:val="14"/>
  </w:num>
  <w:num w:numId="19">
    <w:abstractNumId w:val="8"/>
  </w:num>
  <w:num w:numId="20">
    <w:abstractNumId w:val="7"/>
  </w:num>
  <w:num w:numId="21">
    <w:abstractNumId w:val="29"/>
  </w:num>
  <w:num w:numId="22">
    <w:abstractNumId w:val="31"/>
  </w:num>
  <w:num w:numId="23">
    <w:abstractNumId w:val="30"/>
  </w:num>
  <w:num w:numId="24">
    <w:abstractNumId w:val="33"/>
  </w:num>
  <w:num w:numId="25">
    <w:abstractNumId w:val="12"/>
  </w:num>
  <w:num w:numId="26">
    <w:abstractNumId w:val="18"/>
  </w:num>
  <w:num w:numId="27">
    <w:abstractNumId w:val="20"/>
  </w:num>
  <w:num w:numId="28">
    <w:abstractNumId w:val="19"/>
  </w:num>
  <w:num w:numId="29">
    <w:abstractNumId w:val="5"/>
  </w:num>
  <w:num w:numId="30">
    <w:abstractNumId w:val="22"/>
  </w:num>
  <w:num w:numId="31">
    <w:abstractNumId w:val="6"/>
  </w:num>
  <w:num w:numId="32">
    <w:abstractNumId w:val="4"/>
  </w:num>
  <w:num w:numId="33">
    <w:abstractNumId w:val="28"/>
    <w:lvlOverride w:ilvl="0">
      <w:lvl w:ilvl="0">
        <w:start w:val="2"/>
        <w:numFmt w:val="decimal"/>
        <w:lvlText w:val="%1."/>
        <w:lvlJc w:val="left"/>
        <w:pPr>
          <w:tabs>
            <w:tab w:val="num" w:pos="992"/>
          </w:tabs>
          <w:ind w:left="992" w:hanging="850"/>
        </w:pPr>
        <w:rPr>
          <w:rFonts w:hint="default"/>
        </w:rPr>
      </w:lvl>
    </w:lvlOverride>
    <w:lvlOverride w:ilvl="1">
      <w:lvl w:ilvl="1">
        <w:start w:val="1"/>
        <w:numFmt w:val="decimal"/>
        <w:lvlText w:val="%1.%2."/>
        <w:lvlJc w:val="left"/>
        <w:pPr>
          <w:tabs>
            <w:tab w:val="num" w:pos="850"/>
          </w:tabs>
          <w:ind w:left="850" w:hanging="850"/>
        </w:pPr>
        <w:rPr>
          <w:rFonts w:hint="default"/>
        </w:rPr>
      </w:lvl>
    </w:lvlOverride>
    <w:lvlOverride w:ilvl="2">
      <w:lvl w:ilvl="2">
        <w:start w:val="1"/>
        <w:numFmt w:val="decimal"/>
        <w:lvlText w:val="%1.%2.%3."/>
        <w:lvlJc w:val="left"/>
        <w:pPr>
          <w:tabs>
            <w:tab w:val="num" w:pos="850"/>
          </w:tabs>
          <w:ind w:left="850" w:hanging="850"/>
        </w:pPr>
        <w:rPr>
          <w:rFonts w:hint="default"/>
          <w:b/>
        </w:rPr>
      </w:lvl>
    </w:lvlOverride>
    <w:lvlOverride w:ilvl="3">
      <w:lvl w:ilvl="3">
        <w:start w:val="1"/>
        <w:numFmt w:val="decimal"/>
        <w:lvlText w:val="%1.%2.%3.%4."/>
        <w:lvlJc w:val="left"/>
        <w:pPr>
          <w:tabs>
            <w:tab w:val="num" w:pos="850"/>
          </w:tabs>
          <w:ind w:left="850" w:hanging="85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4">
    <w:abstractNumId w:val="28"/>
    <w:lvlOverride w:ilvl="0">
      <w:startOverride w:val="607540784"/>
      <w:lvl w:ilvl="0">
        <w:start w:val="6"/>
        <w:numFmt w:val="decimal"/>
        <w:lvlText w:val="%1."/>
        <w:lvlJc w:val="left"/>
        <w:pPr>
          <w:tabs>
            <w:tab w:val="num" w:pos="992"/>
          </w:tabs>
          <w:ind w:left="992" w:hanging="850"/>
        </w:pPr>
        <w:rPr>
          <w:rFonts w:hint="default"/>
        </w:rPr>
      </w:lvl>
    </w:lvlOverride>
    <w:lvlOverride w:ilvl="1">
      <w:startOverride w:val="607538304"/>
      <w:lvl w:ilvl="1">
        <w:start w:val="1"/>
        <w:numFmt w:val="decimal"/>
        <w:lvlText w:val="%1.%2."/>
        <w:lvlJc w:val="left"/>
        <w:pPr>
          <w:tabs>
            <w:tab w:val="num" w:pos="850"/>
          </w:tabs>
          <w:ind w:left="850" w:hanging="850"/>
        </w:pPr>
        <w:rPr>
          <w:rFonts w:hint="default"/>
        </w:rPr>
      </w:lvl>
    </w:lvlOverride>
    <w:lvlOverride w:ilvl="2">
      <w:startOverride w:val="607539104"/>
      <w:lvl w:ilvl="2">
        <w:start w:val="1"/>
        <w:numFmt w:val="decimal"/>
        <w:lvlText w:val="%1.%2.%3."/>
        <w:lvlJc w:val="left"/>
        <w:pPr>
          <w:tabs>
            <w:tab w:val="num" w:pos="850"/>
          </w:tabs>
          <w:ind w:left="850" w:hanging="850"/>
        </w:pPr>
        <w:rPr>
          <w:rFonts w:hint="default"/>
          <w:b/>
        </w:rPr>
      </w:lvl>
    </w:lvlOverride>
    <w:lvlOverride w:ilvl="3">
      <w:startOverride w:val="607536304"/>
      <w:lvl w:ilvl="3">
        <w:start w:val="1"/>
        <w:numFmt w:val="decimal"/>
        <w:lvlText w:val="%1.%2.%3.%4."/>
        <w:lvlJc w:val="left"/>
        <w:pPr>
          <w:tabs>
            <w:tab w:val="num" w:pos="850"/>
          </w:tabs>
          <w:ind w:left="850" w:hanging="850"/>
        </w:pPr>
        <w:rPr>
          <w:rFonts w:hint="default"/>
        </w:rPr>
      </w:lvl>
    </w:lvlOverride>
    <w:lvlOverride w:ilvl="4">
      <w:startOverride w:val="607539184"/>
      <w:lvl w:ilvl="4">
        <w:start w:val="1"/>
        <w:numFmt w:val="lowerLetter"/>
        <w:lvlText w:val="(%5)"/>
        <w:lvlJc w:val="left"/>
        <w:pPr>
          <w:tabs>
            <w:tab w:val="num" w:pos="1800"/>
          </w:tabs>
          <w:ind w:left="1800" w:hanging="360"/>
        </w:pPr>
        <w:rPr>
          <w:rFonts w:hint="default"/>
        </w:rPr>
      </w:lvl>
    </w:lvlOverride>
    <w:lvlOverride w:ilvl="5">
      <w:startOverride w:val="607539264"/>
      <w:lvl w:ilvl="5">
        <w:start w:val="1"/>
        <w:numFmt w:val="lowerRoman"/>
        <w:lvlText w:val="(%6)"/>
        <w:lvlJc w:val="left"/>
        <w:pPr>
          <w:tabs>
            <w:tab w:val="num" w:pos="2160"/>
          </w:tabs>
          <w:ind w:left="2160" w:hanging="360"/>
        </w:pPr>
        <w:rPr>
          <w:rFonts w:hint="default"/>
        </w:rPr>
      </w:lvl>
    </w:lvlOverride>
    <w:lvlOverride w:ilvl="6">
      <w:startOverride w:val="607539824"/>
      <w:lvl w:ilvl="6">
        <w:start w:val="1"/>
        <w:numFmt w:val="decimal"/>
        <w:lvlText w:val="%7."/>
        <w:lvlJc w:val="left"/>
        <w:pPr>
          <w:tabs>
            <w:tab w:val="num" w:pos="2520"/>
          </w:tabs>
          <w:ind w:left="2520" w:hanging="360"/>
        </w:pPr>
        <w:rPr>
          <w:rFonts w:hint="default"/>
        </w:rPr>
      </w:lvl>
    </w:lvlOverride>
    <w:lvlOverride w:ilvl="7">
      <w:startOverride w:val="607536784"/>
      <w:lvl w:ilvl="7">
        <w:start w:val="1"/>
        <w:numFmt w:val="lowerLetter"/>
        <w:lvlText w:val="%8."/>
        <w:lvlJc w:val="left"/>
        <w:pPr>
          <w:tabs>
            <w:tab w:val="num" w:pos="2880"/>
          </w:tabs>
          <w:ind w:left="2880" w:hanging="360"/>
        </w:pPr>
        <w:rPr>
          <w:rFonts w:hint="default"/>
        </w:rPr>
      </w:lvl>
    </w:lvlOverride>
    <w:lvlOverride w:ilvl="8">
      <w:startOverride w:val="607537264"/>
      <w:lvl w:ilvl="8">
        <w:start w:val="1"/>
        <w:numFmt w:val="lowerRoman"/>
        <w:lvlText w:val="%9."/>
        <w:lvlJc w:val="left"/>
        <w:pPr>
          <w:tabs>
            <w:tab w:val="num" w:pos="3240"/>
          </w:tabs>
          <w:ind w:left="3240" w:hanging="360"/>
        </w:pPr>
        <w:rPr>
          <w:rFonts w:hint="default"/>
        </w:rPr>
      </w:lvl>
    </w:lvlOverride>
  </w:num>
  <w:num w:numId="35">
    <w:abstractNumId w:val="10"/>
  </w:num>
  <w:num w:numId="36">
    <w:abstractNumId w:val="36"/>
  </w:num>
  <w:num w:numId="37">
    <w:abstractNumId w:val="3"/>
  </w:num>
  <w:num w:numId="38">
    <w:abstractNumId w:val="2"/>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 w:numId="81">
    <w:abstractNumId w:val="80"/>
  </w:num>
  <w:num w:numId="82">
    <w:abstractNumId w:val="81"/>
  </w:num>
  <w:num w:numId="83">
    <w:abstractNumId w:val="82"/>
  </w:num>
  <w:num w:numId="84">
    <w:abstractNumId w:val="83"/>
  </w:num>
  <w:num w:numId="85">
    <w:abstractNumId w:val="84"/>
  </w:num>
  <w:num w:numId="86">
    <w:abstractNumId w:val="85"/>
  </w:num>
  <w:num w:numId="87">
    <w:abstractNumId w:val="86"/>
  </w:num>
  <w:num w:numId="88">
    <w:abstractNumId w:val="87"/>
  </w:num>
  <w:num w:numId="89">
    <w:abstractNumId w:val="88"/>
  </w:num>
  <w:num w:numId="90">
    <w:abstractNumId w:val="89"/>
  </w:num>
  <w:num w:numId="91">
    <w:abstractNumId w:val="90"/>
  </w:num>
  <w:num w:numId="92">
    <w:abstractNumId w:val="91"/>
  </w:num>
  <w:num w:numId="93">
    <w:abstractNumId w:val="92"/>
  </w:num>
  <w:num w:numId="94">
    <w:abstractNumId w:val="93"/>
  </w:num>
  <w:num w:numId="95">
    <w:abstractNumId w:val="94"/>
  </w:num>
  <w:num w:numId="96">
    <w:abstractNumId w:val="95"/>
  </w:num>
  <w:num w:numId="97">
    <w:abstractNumId w:val="96"/>
  </w:num>
  <w:num w:numId="98">
    <w:abstractNumId w:val="97"/>
  </w:num>
  <w:num w:numId="99">
    <w:abstractNumId w:val="98"/>
  </w:num>
  <w:num w:numId="100">
    <w:abstractNumId w:val="99"/>
  </w:num>
  <w:num w:numId="101">
    <w:abstractNumId w:val="100"/>
  </w:num>
  <w:num w:numId="102">
    <w:abstractNumId w:val="101"/>
  </w:num>
  <w:num w:numId="103">
    <w:abstractNumId w:val="102"/>
  </w:num>
  <w:num w:numId="104">
    <w:abstractNumId w:val="103"/>
  </w:num>
  <w:num w:numId="105">
    <w:abstractNumId w:val="104"/>
  </w:num>
  <w:num w:numId="106">
    <w:abstractNumId w:val="105"/>
  </w:num>
  <w:num w:numId="107">
    <w:abstractNumId w:val="106"/>
  </w:num>
  <w:num w:numId="108">
    <w:abstractNumId w:val="107"/>
  </w:num>
  <w:num w:numId="109">
    <w:abstractNumId w:val="108"/>
  </w:num>
  <w:num w:numId="110">
    <w:abstractNumId w:val="109"/>
  </w:num>
  <w:num w:numId="111">
    <w:abstractNumId w:val="110"/>
  </w:num>
  <w:num w:numId="112">
    <w:abstractNumId w:val="111"/>
  </w:num>
  <w:num w:numId="113">
    <w:abstractNumId w:val="112"/>
  </w:num>
  <w:num w:numId="114">
    <w:abstractNumId w:val="113"/>
  </w:num>
  <w:num w:numId="115">
    <w:abstractNumId w:val="114"/>
  </w:num>
  <w:num w:numId="116">
    <w:abstractNumId w:val="115"/>
  </w:num>
  <w:num w:numId="117">
    <w:abstractNumId w:val="116"/>
  </w:num>
  <w:num w:numId="118">
    <w:abstractNumId w:val="117"/>
  </w:num>
  <w:num w:numId="119">
    <w:abstractNumId w:val="118"/>
  </w:num>
  <w:num w:numId="120">
    <w:abstractNumId w:val="119"/>
  </w:num>
  <w:num w:numId="121">
    <w:abstractNumId w:val="120"/>
  </w:num>
  <w:num w:numId="122">
    <w:abstractNumId w:val="121"/>
  </w:num>
  <w:num w:numId="123">
    <w:abstractNumId w:val="122"/>
  </w:num>
  <w:num w:numId="124">
    <w:abstractNumId w:val="123"/>
  </w:num>
  <w:num w:numId="125">
    <w:abstractNumId w:val="124"/>
  </w:num>
  <w:num w:numId="126">
    <w:abstractNumId w:val="125"/>
  </w:num>
  <w:num w:numId="127">
    <w:abstractNumId w:val="126"/>
  </w:num>
  <w:num w:numId="128">
    <w:abstractNumId w:val="127"/>
  </w:num>
  <w:num w:numId="129">
    <w:abstractNumId w:val="128"/>
  </w:num>
  <w:num w:numId="130">
    <w:abstractNumId w:val="1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8"/>
  <w:proofState w:grammar="clean"/>
  <w:stylePaneFormatFilter w:val="3F01"/>
  <w:doNotTrackMoves/>
  <w:defaultTabStop w:val="720"/>
  <w:characterSpacingControl w:val="doNotCompress"/>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643CD"/>
    <w:rsid w:val="0000136E"/>
    <w:rsid w:val="00003ACF"/>
    <w:rsid w:val="00004D7E"/>
    <w:rsid w:val="00004FE2"/>
    <w:rsid w:val="00013586"/>
    <w:rsid w:val="00030008"/>
    <w:rsid w:val="00030CC3"/>
    <w:rsid w:val="000311C4"/>
    <w:rsid w:val="00031FFA"/>
    <w:rsid w:val="00040967"/>
    <w:rsid w:val="000469FB"/>
    <w:rsid w:val="00046E2A"/>
    <w:rsid w:val="00051C75"/>
    <w:rsid w:val="00051DD6"/>
    <w:rsid w:val="00053478"/>
    <w:rsid w:val="000541A4"/>
    <w:rsid w:val="00064A75"/>
    <w:rsid w:val="000657B3"/>
    <w:rsid w:val="000808CE"/>
    <w:rsid w:val="00082313"/>
    <w:rsid w:val="00082572"/>
    <w:rsid w:val="00093D87"/>
    <w:rsid w:val="00094173"/>
    <w:rsid w:val="000A3B64"/>
    <w:rsid w:val="000B32AE"/>
    <w:rsid w:val="000C35FC"/>
    <w:rsid w:val="000C6706"/>
    <w:rsid w:val="000C6A79"/>
    <w:rsid w:val="000C7BCE"/>
    <w:rsid w:val="000D2496"/>
    <w:rsid w:val="000E2AA1"/>
    <w:rsid w:val="000F5CC0"/>
    <w:rsid w:val="000F7603"/>
    <w:rsid w:val="00107E7E"/>
    <w:rsid w:val="00111889"/>
    <w:rsid w:val="0012258C"/>
    <w:rsid w:val="0012385C"/>
    <w:rsid w:val="00134BEA"/>
    <w:rsid w:val="001371B2"/>
    <w:rsid w:val="00144AE8"/>
    <w:rsid w:val="0015384C"/>
    <w:rsid w:val="0015397F"/>
    <w:rsid w:val="00154F4D"/>
    <w:rsid w:val="00164AE6"/>
    <w:rsid w:val="00171914"/>
    <w:rsid w:val="0019155C"/>
    <w:rsid w:val="0019232D"/>
    <w:rsid w:val="001A039B"/>
    <w:rsid w:val="001A2013"/>
    <w:rsid w:val="001A3926"/>
    <w:rsid w:val="001A3CAE"/>
    <w:rsid w:val="001A4A08"/>
    <w:rsid w:val="001A4AC5"/>
    <w:rsid w:val="001B0D0C"/>
    <w:rsid w:val="001C2523"/>
    <w:rsid w:val="001C6826"/>
    <w:rsid w:val="001D083A"/>
    <w:rsid w:val="001D1F31"/>
    <w:rsid w:val="001D2FD9"/>
    <w:rsid w:val="001D41BB"/>
    <w:rsid w:val="001D4364"/>
    <w:rsid w:val="001D6ABA"/>
    <w:rsid w:val="001E4B08"/>
    <w:rsid w:val="001E50F1"/>
    <w:rsid w:val="001E682E"/>
    <w:rsid w:val="001F61EF"/>
    <w:rsid w:val="00221037"/>
    <w:rsid w:val="00224619"/>
    <w:rsid w:val="00235FB7"/>
    <w:rsid w:val="00236B79"/>
    <w:rsid w:val="0025530C"/>
    <w:rsid w:val="002559FD"/>
    <w:rsid w:val="00257870"/>
    <w:rsid w:val="00263C75"/>
    <w:rsid w:val="00264139"/>
    <w:rsid w:val="0027027A"/>
    <w:rsid w:val="00275CF2"/>
    <w:rsid w:val="00283BC8"/>
    <w:rsid w:val="00287E62"/>
    <w:rsid w:val="002A2A4D"/>
    <w:rsid w:val="002A3D25"/>
    <w:rsid w:val="002B60AE"/>
    <w:rsid w:val="002B6F87"/>
    <w:rsid w:val="002C0C21"/>
    <w:rsid w:val="002C1D1B"/>
    <w:rsid w:val="002C592F"/>
    <w:rsid w:val="002C6D47"/>
    <w:rsid w:val="002E1D36"/>
    <w:rsid w:val="003118E9"/>
    <w:rsid w:val="003173D3"/>
    <w:rsid w:val="00324E1E"/>
    <w:rsid w:val="00331A05"/>
    <w:rsid w:val="003579A1"/>
    <w:rsid w:val="00357DD5"/>
    <w:rsid w:val="00366AAB"/>
    <w:rsid w:val="00376E50"/>
    <w:rsid w:val="00384433"/>
    <w:rsid w:val="0038606E"/>
    <w:rsid w:val="003903F0"/>
    <w:rsid w:val="00391CD8"/>
    <w:rsid w:val="003B1DDE"/>
    <w:rsid w:val="003B65A5"/>
    <w:rsid w:val="003C5031"/>
    <w:rsid w:val="003D1618"/>
    <w:rsid w:val="003D67CD"/>
    <w:rsid w:val="003E7115"/>
    <w:rsid w:val="003E726F"/>
    <w:rsid w:val="003E7770"/>
    <w:rsid w:val="003F312A"/>
    <w:rsid w:val="003F325F"/>
    <w:rsid w:val="003F6C98"/>
    <w:rsid w:val="00412718"/>
    <w:rsid w:val="0042051F"/>
    <w:rsid w:val="00420C06"/>
    <w:rsid w:val="00426349"/>
    <w:rsid w:val="00434D73"/>
    <w:rsid w:val="00435766"/>
    <w:rsid w:val="004375CA"/>
    <w:rsid w:val="00440487"/>
    <w:rsid w:val="00470F82"/>
    <w:rsid w:val="0047688D"/>
    <w:rsid w:val="00484F41"/>
    <w:rsid w:val="00493347"/>
    <w:rsid w:val="00495FED"/>
    <w:rsid w:val="00497523"/>
    <w:rsid w:val="004A1BF0"/>
    <w:rsid w:val="004A2FC6"/>
    <w:rsid w:val="004A3AB7"/>
    <w:rsid w:val="004A4B51"/>
    <w:rsid w:val="004B2ED1"/>
    <w:rsid w:val="004B33EE"/>
    <w:rsid w:val="004B3428"/>
    <w:rsid w:val="004B66B6"/>
    <w:rsid w:val="004D0504"/>
    <w:rsid w:val="004D1171"/>
    <w:rsid w:val="004D625B"/>
    <w:rsid w:val="004E1FDD"/>
    <w:rsid w:val="004E5210"/>
    <w:rsid w:val="004F1545"/>
    <w:rsid w:val="00501DA0"/>
    <w:rsid w:val="00502742"/>
    <w:rsid w:val="00506B9C"/>
    <w:rsid w:val="0051112E"/>
    <w:rsid w:val="005113EF"/>
    <w:rsid w:val="00515D16"/>
    <w:rsid w:val="00530EF1"/>
    <w:rsid w:val="005367FC"/>
    <w:rsid w:val="00537BFD"/>
    <w:rsid w:val="005411DA"/>
    <w:rsid w:val="00544411"/>
    <w:rsid w:val="00552B7D"/>
    <w:rsid w:val="005547CD"/>
    <w:rsid w:val="00562C60"/>
    <w:rsid w:val="005643CD"/>
    <w:rsid w:val="005701D6"/>
    <w:rsid w:val="005739E0"/>
    <w:rsid w:val="00577286"/>
    <w:rsid w:val="005944B6"/>
    <w:rsid w:val="00597F64"/>
    <w:rsid w:val="005A07CB"/>
    <w:rsid w:val="005A1CA2"/>
    <w:rsid w:val="005A5145"/>
    <w:rsid w:val="005A5785"/>
    <w:rsid w:val="005A6EF8"/>
    <w:rsid w:val="005A79BD"/>
    <w:rsid w:val="005A7CA7"/>
    <w:rsid w:val="005B5A3D"/>
    <w:rsid w:val="005B69A1"/>
    <w:rsid w:val="005C48A0"/>
    <w:rsid w:val="005C58B2"/>
    <w:rsid w:val="005D6B15"/>
    <w:rsid w:val="005E01BA"/>
    <w:rsid w:val="005E3257"/>
    <w:rsid w:val="005F06B5"/>
    <w:rsid w:val="005F2609"/>
    <w:rsid w:val="005F325A"/>
    <w:rsid w:val="005F5299"/>
    <w:rsid w:val="005F6BA3"/>
    <w:rsid w:val="005F6C78"/>
    <w:rsid w:val="00600727"/>
    <w:rsid w:val="00603402"/>
    <w:rsid w:val="006034BD"/>
    <w:rsid w:val="00604EAE"/>
    <w:rsid w:val="006224B0"/>
    <w:rsid w:val="0062754E"/>
    <w:rsid w:val="0063292B"/>
    <w:rsid w:val="00636710"/>
    <w:rsid w:val="00636E55"/>
    <w:rsid w:val="00636EE1"/>
    <w:rsid w:val="00637642"/>
    <w:rsid w:val="006416BB"/>
    <w:rsid w:val="0064318A"/>
    <w:rsid w:val="00645B01"/>
    <w:rsid w:val="006472F7"/>
    <w:rsid w:val="006477CC"/>
    <w:rsid w:val="00656874"/>
    <w:rsid w:val="00660773"/>
    <w:rsid w:val="00665876"/>
    <w:rsid w:val="006665E6"/>
    <w:rsid w:val="00673320"/>
    <w:rsid w:val="00682D0B"/>
    <w:rsid w:val="00691AED"/>
    <w:rsid w:val="006A0BCE"/>
    <w:rsid w:val="006C3A4F"/>
    <w:rsid w:val="006D1E55"/>
    <w:rsid w:val="006D78B0"/>
    <w:rsid w:val="006E04F8"/>
    <w:rsid w:val="006F5954"/>
    <w:rsid w:val="00704E00"/>
    <w:rsid w:val="007056FA"/>
    <w:rsid w:val="00710E80"/>
    <w:rsid w:val="00716640"/>
    <w:rsid w:val="0072248E"/>
    <w:rsid w:val="00723C84"/>
    <w:rsid w:val="0072567D"/>
    <w:rsid w:val="00725837"/>
    <w:rsid w:val="00725BB2"/>
    <w:rsid w:val="00727EAD"/>
    <w:rsid w:val="00737CC1"/>
    <w:rsid w:val="00741B7D"/>
    <w:rsid w:val="007424ED"/>
    <w:rsid w:val="00751387"/>
    <w:rsid w:val="007570AB"/>
    <w:rsid w:val="00757EB5"/>
    <w:rsid w:val="0076169B"/>
    <w:rsid w:val="00764860"/>
    <w:rsid w:val="00764EE5"/>
    <w:rsid w:val="0077228A"/>
    <w:rsid w:val="00773237"/>
    <w:rsid w:val="00785519"/>
    <w:rsid w:val="0079101B"/>
    <w:rsid w:val="00793799"/>
    <w:rsid w:val="00794445"/>
    <w:rsid w:val="007A0AA8"/>
    <w:rsid w:val="007A0B37"/>
    <w:rsid w:val="007A2E9E"/>
    <w:rsid w:val="007B0B32"/>
    <w:rsid w:val="007B722E"/>
    <w:rsid w:val="007C1D98"/>
    <w:rsid w:val="007C3041"/>
    <w:rsid w:val="007E5180"/>
    <w:rsid w:val="007E62E1"/>
    <w:rsid w:val="007F39D0"/>
    <w:rsid w:val="007F706D"/>
    <w:rsid w:val="008025D7"/>
    <w:rsid w:val="00804899"/>
    <w:rsid w:val="00805CE0"/>
    <w:rsid w:val="008249AE"/>
    <w:rsid w:val="0083571C"/>
    <w:rsid w:val="00837F13"/>
    <w:rsid w:val="00846353"/>
    <w:rsid w:val="0085753F"/>
    <w:rsid w:val="00860257"/>
    <w:rsid w:val="00860EA9"/>
    <w:rsid w:val="008624D7"/>
    <w:rsid w:val="00870D13"/>
    <w:rsid w:val="0087100A"/>
    <w:rsid w:val="0087147F"/>
    <w:rsid w:val="008726F3"/>
    <w:rsid w:val="00882024"/>
    <w:rsid w:val="008A165F"/>
    <w:rsid w:val="008A26EF"/>
    <w:rsid w:val="008B6CD2"/>
    <w:rsid w:val="008C0DE9"/>
    <w:rsid w:val="008C32D7"/>
    <w:rsid w:val="008C3C44"/>
    <w:rsid w:val="008C5CFA"/>
    <w:rsid w:val="008D382F"/>
    <w:rsid w:val="008D428D"/>
    <w:rsid w:val="008D5009"/>
    <w:rsid w:val="008D53A7"/>
    <w:rsid w:val="008D5534"/>
    <w:rsid w:val="008D62ED"/>
    <w:rsid w:val="008E3442"/>
    <w:rsid w:val="008E3A3F"/>
    <w:rsid w:val="008F0A0F"/>
    <w:rsid w:val="008F2E3F"/>
    <w:rsid w:val="0090303F"/>
    <w:rsid w:val="009031A0"/>
    <w:rsid w:val="009034BB"/>
    <w:rsid w:val="00903533"/>
    <w:rsid w:val="00903D75"/>
    <w:rsid w:val="00913A1A"/>
    <w:rsid w:val="009247D7"/>
    <w:rsid w:val="00931714"/>
    <w:rsid w:val="009347F8"/>
    <w:rsid w:val="00935229"/>
    <w:rsid w:val="00937974"/>
    <w:rsid w:val="00941B50"/>
    <w:rsid w:val="00941EB6"/>
    <w:rsid w:val="00942CBA"/>
    <w:rsid w:val="009573D2"/>
    <w:rsid w:val="009574BE"/>
    <w:rsid w:val="009578F3"/>
    <w:rsid w:val="00963FAE"/>
    <w:rsid w:val="00972239"/>
    <w:rsid w:val="00977763"/>
    <w:rsid w:val="00977A33"/>
    <w:rsid w:val="00977F41"/>
    <w:rsid w:val="009843EE"/>
    <w:rsid w:val="00986934"/>
    <w:rsid w:val="00990A5A"/>
    <w:rsid w:val="00991CF3"/>
    <w:rsid w:val="009937DA"/>
    <w:rsid w:val="00995E2F"/>
    <w:rsid w:val="009A1D71"/>
    <w:rsid w:val="009A2413"/>
    <w:rsid w:val="009A51C8"/>
    <w:rsid w:val="009B28F5"/>
    <w:rsid w:val="009C5874"/>
    <w:rsid w:val="009C5CD5"/>
    <w:rsid w:val="009D030B"/>
    <w:rsid w:val="009E24C0"/>
    <w:rsid w:val="009E352E"/>
    <w:rsid w:val="009E5061"/>
    <w:rsid w:val="009F202D"/>
    <w:rsid w:val="009F3013"/>
    <w:rsid w:val="009F56AD"/>
    <w:rsid w:val="00A026B8"/>
    <w:rsid w:val="00A03573"/>
    <w:rsid w:val="00A06C1C"/>
    <w:rsid w:val="00A11A16"/>
    <w:rsid w:val="00A15CFE"/>
    <w:rsid w:val="00A15E2F"/>
    <w:rsid w:val="00A22C8E"/>
    <w:rsid w:val="00A2412D"/>
    <w:rsid w:val="00A25F85"/>
    <w:rsid w:val="00A333B2"/>
    <w:rsid w:val="00A45A26"/>
    <w:rsid w:val="00A53E68"/>
    <w:rsid w:val="00A65D1B"/>
    <w:rsid w:val="00A82BBD"/>
    <w:rsid w:val="00A859BA"/>
    <w:rsid w:val="00AA06EC"/>
    <w:rsid w:val="00AA1B27"/>
    <w:rsid w:val="00AA6685"/>
    <w:rsid w:val="00AB1282"/>
    <w:rsid w:val="00AB2305"/>
    <w:rsid w:val="00AB5B6B"/>
    <w:rsid w:val="00AB60E2"/>
    <w:rsid w:val="00AB7346"/>
    <w:rsid w:val="00AD1925"/>
    <w:rsid w:val="00AD30F8"/>
    <w:rsid w:val="00AD3154"/>
    <w:rsid w:val="00AE443E"/>
    <w:rsid w:val="00AE6B3E"/>
    <w:rsid w:val="00AF2440"/>
    <w:rsid w:val="00AF73E7"/>
    <w:rsid w:val="00AF770A"/>
    <w:rsid w:val="00B05E23"/>
    <w:rsid w:val="00B10EC9"/>
    <w:rsid w:val="00B247D1"/>
    <w:rsid w:val="00B24927"/>
    <w:rsid w:val="00B268D3"/>
    <w:rsid w:val="00B43DD0"/>
    <w:rsid w:val="00B50750"/>
    <w:rsid w:val="00B52CDD"/>
    <w:rsid w:val="00B70DA5"/>
    <w:rsid w:val="00B71360"/>
    <w:rsid w:val="00B724CB"/>
    <w:rsid w:val="00B7758A"/>
    <w:rsid w:val="00B803E1"/>
    <w:rsid w:val="00B9551E"/>
    <w:rsid w:val="00B9655F"/>
    <w:rsid w:val="00B97021"/>
    <w:rsid w:val="00BC54BA"/>
    <w:rsid w:val="00BC7D65"/>
    <w:rsid w:val="00BD677B"/>
    <w:rsid w:val="00BE06D6"/>
    <w:rsid w:val="00BE5814"/>
    <w:rsid w:val="00BE5B6C"/>
    <w:rsid w:val="00BE7245"/>
    <w:rsid w:val="00BE7FCE"/>
    <w:rsid w:val="00BF021B"/>
    <w:rsid w:val="00BF036C"/>
    <w:rsid w:val="00BF0C8E"/>
    <w:rsid w:val="00BF3391"/>
    <w:rsid w:val="00BF44C1"/>
    <w:rsid w:val="00BF52F6"/>
    <w:rsid w:val="00BF682D"/>
    <w:rsid w:val="00BF725A"/>
    <w:rsid w:val="00C15429"/>
    <w:rsid w:val="00C15BD0"/>
    <w:rsid w:val="00C20730"/>
    <w:rsid w:val="00C21E17"/>
    <w:rsid w:val="00C2219E"/>
    <w:rsid w:val="00C23AD8"/>
    <w:rsid w:val="00C25C27"/>
    <w:rsid w:val="00C35D17"/>
    <w:rsid w:val="00C36FC2"/>
    <w:rsid w:val="00C403AC"/>
    <w:rsid w:val="00C40F08"/>
    <w:rsid w:val="00C435E2"/>
    <w:rsid w:val="00C524DC"/>
    <w:rsid w:val="00C57B18"/>
    <w:rsid w:val="00C57C82"/>
    <w:rsid w:val="00C61193"/>
    <w:rsid w:val="00C66D1F"/>
    <w:rsid w:val="00C7475F"/>
    <w:rsid w:val="00C7764F"/>
    <w:rsid w:val="00C83EDB"/>
    <w:rsid w:val="00C87003"/>
    <w:rsid w:val="00CA6EAB"/>
    <w:rsid w:val="00CC2601"/>
    <w:rsid w:val="00CC36B2"/>
    <w:rsid w:val="00CC38C5"/>
    <w:rsid w:val="00CC6095"/>
    <w:rsid w:val="00CD16CF"/>
    <w:rsid w:val="00CD24A9"/>
    <w:rsid w:val="00CE07EF"/>
    <w:rsid w:val="00CE4BC7"/>
    <w:rsid w:val="00CF7F91"/>
    <w:rsid w:val="00D012B9"/>
    <w:rsid w:val="00D0179F"/>
    <w:rsid w:val="00D038B2"/>
    <w:rsid w:val="00D066A4"/>
    <w:rsid w:val="00D11497"/>
    <w:rsid w:val="00D13BA5"/>
    <w:rsid w:val="00D14BA1"/>
    <w:rsid w:val="00D17DB8"/>
    <w:rsid w:val="00D3259A"/>
    <w:rsid w:val="00D32C32"/>
    <w:rsid w:val="00D360EB"/>
    <w:rsid w:val="00D472C5"/>
    <w:rsid w:val="00D6078B"/>
    <w:rsid w:val="00D8076F"/>
    <w:rsid w:val="00D85FDC"/>
    <w:rsid w:val="00D87DAA"/>
    <w:rsid w:val="00D916B3"/>
    <w:rsid w:val="00D97138"/>
    <w:rsid w:val="00D97963"/>
    <w:rsid w:val="00DA0297"/>
    <w:rsid w:val="00DA525B"/>
    <w:rsid w:val="00DB25B8"/>
    <w:rsid w:val="00DC028E"/>
    <w:rsid w:val="00DC0EB8"/>
    <w:rsid w:val="00DD0A72"/>
    <w:rsid w:val="00DD2742"/>
    <w:rsid w:val="00DD373B"/>
    <w:rsid w:val="00DD3F83"/>
    <w:rsid w:val="00DE5DD7"/>
    <w:rsid w:val="00DF0174"/>
    <w:rsid w:val="00DF0D6A"/>
    <w:rsid w:val="00E21A6D"/>
    <w:rsid w:val="00E3183D"/>
    <w:rsid w:val="00E352CA"/>
    <w:rsid w:val="00E4588A"/>
    <w:rsid w:val="00E505CB"/>
    <w:rsid w:val="00E50D6A"/>
    <w:rsid w:val="00E515A9"/>
    <w:rsid w:val="00E52C4F"/>
    <w:rsid w:val="00E61062"/>
    <w:rsid w:val="00E82FA0"/>
    <w:rsid w:val="00E82FD2"/>
    <w:rsid w:val="00E86267"/>
    <w:rsid w:val="00E927A9"/>
    <w:rsid w:val="00E9348A"/>
    <w:rsid w:val="00E94987"/>
    <w:rsid w:val="00EA2222"/>
    <w:rsid w:val="00EA25AF"/>
    <w:rsid w:val="00EB22D2"/>
    <w:rsid w:val="00EB2B15"/>
    <w:rsid w:val="00EB58C5"/>
    <w:rsid w:val="00EC33F0"/>
    <w:rsid w:val="00EC7CD7"/>
    <w:rsid w:val="00ED27A3"/>
    <w:rsid w:val="00ED482A"/>
    <w:rsid w:val="00ED6E68"/>
    <w:rsid w:val="00EE26D8"/>
    <w:rsid w:val="00EE4AFC"/>
    <w:rsid w:val="00EF1975"/>
    <w:rsid w:val="00EF5E4D"/>
    <w:rsid w:val="00F00E75"/>
    <w:rsid w:val="00F022AC"/>
    <w:rsid w:val="00F05543"/>
    <w:rsid w:val="00F100A0"/>
    <w:rsid w:val="00F10E37"/>
    <w:rsid w:val="00F12361"/>
    <w:rsid w:val="00F15F30"/>
    <w:rsid w:val="00F20807"/>
    <w:rsid w:val="00F221CE"/>
    <w:rsid w:val="00F24766"/>
    <w:rsid w:val="00F2690E"/>
    <w:rsid w:val="00F30153"/>
    <w:rsid w:val="00F403B2"/>
    <w:rsid w:val="00F4063B"/>
    <w:rsid w:val="00F43F8E"/>
    <w:rsid w:val="00F51FE9"/>
    <w:rsid w:val="00F54A8D"/>
    <w:rsid w:val="00F66B1A"/>
    <w:rsid w:val="00F66DE9"/>
    <w:rsid w:val="00F77728"/>
    <w:rsid w:val="00F924F6"/>
    <w:rsid w:val="00F94992"/>
    <w:rsid w:val="00FA1213"/>
    <w:rsid w:val="00FA1C89"/>
    <w:rsid w:val="00FC513F"/>
    <w:rsid w:val="00FC6A8D"/>
    <w:rsid w:val="00FE4B75"/>
    <w:rsid w:val="00FF3621"/>
  </w:rsids>
  <w:docVars>
    <w:docVar w:name="LW_DocType" w:val="NORMAL"/>
    <w:docVar w:name="LW_LANGUE" w:val="EN"/>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39" w:unhideWhenUsed="0"/>
    <w:lsdException w:name="toc 2" w:semiHidden="0" w:uiPriority="39" w:unhideWhenUsed="0"/>
    <w:lsdException w:name="toc 3" w:semiHidden="0" w:uiPriority="39"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nhideWhenUsed="0"/>
    <w:lsdException w:name="footer" w:semiHidden="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sid w:val="005643CD"/>
    <w:pPr>
      <w:spacing w:before="120" w:after="120"/>
      <w:jc w:val="both"/>
    </w:pPr>
    <w:rPr>
      <w:sz w:val="24"/>
      <w:szCs w:val="24"/>
      <w:lang w:val="en-GB" w:eastAsia="en-US" w:bidi="ar-SA"/>
    </w:rPr>
  </w:style>
  <w:style w:type="paragraph" w:styleId="Heading1">
    <w:name w:val="heading 1"/>
    <w:basedOn w:val="Normal"/>
    <w:next w:val="Normal"/>
    <w:link w:val="Heading1Char"/>
    <w:qFormat/>
    <w:rsid w:val="005643CD"/>
    <w:pPr>
      <w:keepNext/>
      <w:numPr>
        <w:ilvl w:val="0"/>
        <w:numId w:val="7"/>
      </w:numPr>
      <w:spacing w:before="360"/>
      <w:outlineLvl w:val="0"/>
    </w:pPr>
    <w:rPr>
      <w:b/>
      <w:bCs/>
      <w:smallCaps/>
      <w:szCs w:val="32"/>
    </w:rPr>
  </w:style>
  <w:style w:type="paragraph" w:styleId="Heading2">
    <w:name w:val="heading 2"/>
    <w:basedOn w:val="Normal"/>
    <w:next w:val="Normal"/>
    <w:link w:val="Heading2Char"/>
    <w:qFormat/>
    <w:rsid w:val="005643CD"/>
    <w:pPr>
      <w:keepNext/>
      <w:numPr>
        <w:ilvl w:val="1"/>
        <w:numId w:val="7"/>
      </w:numPr>
      <w:outlineLvl w:val="1"/>
    </w:pPr>
    <w:rPr>
      <w:b/>
      <w:bCs/>
      <w:iCs/>
      <w:szCs w:val="28"/>
    </w:rPr>
  </w:style>
  <w:style w:type="paragraph" w:styleId="Heading3">
    <w:name w:val="heading 3"/>
    <w:basedOn w:val="Normal"/>
    <w:next w:val="Normal"/>
    <w:link w:val="Heading3Char"/>
    <w:qFormat/>
    <w:rsid w:val="005643CD"/>
    <w:pPr>
      <w:keepNext/>
      <w:numPr>
        <w:ilvl w:val="2"/>
        <w:numId w:val="7"/>
      </w:numPr>
      <w:outlineLvl w:val="2"/>
    </w:pPr>
    <w:rPr>
      <w:bCs/>
      <w:i/>
      <w:szCs w:val="26"/>
    </w:rPr>
  </w:style>
  <w:style w:type="paragraph" w:styleId="Heading4">
    <w:name w:val="heading 4"/>
    <w:basedOn w:val="Normal"/>
    <w:next w:val="Normal"/>
    <w:link w:val="Heading4Char"/>
    <w:qFormat/>
    <w:rsid w:val="005643CD"/>
    <w:pPr>
      <w:keepNext/>
      <w:numPr>
        <w:ilvl w:val="3"/>
        <w:numId w:val="7"/>
      </w:numPr>
      <w:outlineLvl w:val="3"/>
    </w:pPr>
    <w:rPr>
      <w:bCs/>
      <w:szCs w:val="28"/>
    </w:rPr>
  </w:style>
  <w:style w:type="paragraph" w:styleId="Heading5">
    <w:name w:val="heading 5"/>
    <w:basedOn w:val="Normal"/>
    <w:next w:val="Normal"/>
    <w:link w:val="Heading5Char"/>
    <w:qFormat/>
    <w:rsid w:val="008C5CFA"/>
    <w:pPr>
      <w:spacing w:before="240" w:after="60"/>
      <w:ind w:left="1008" w:hanging="1008"/>
      <w:jc w:val="left"/>
      <w:outlineLvl w:val="4"/>
    </w:pPr>
    <w:rPr>
      <w:rFonts w:ascii="Arial" w:hAnsi="Arial"/>
      <w:sz w:val="22"/>
      <w:szCs w:val="20"/>
    </w:rPr>
  </w:style>
  <w:style w:type="paragraph" w:styleId="Heading6">
    <w:name w:val="heading 6"/>
    <w:basedOn w:val="Normal"/>
    <w:next w:val="Normal"/>
    <w:link w:val="Heading6Char"/>
    <w:qFormat/>
    <w:rsid w:val="008C5CFA"/>
    <w:pPr>
      <w:spacing w:before="240" w:after="60"/>
      <w:ind w:left="1152" w:hanging="1152"/>
      <w:jc w:val="left"/>
      <w:outlineLvl w:val="5"/>
    </w:pPr>
    <w:rPr>
      <w:rFonts w:ascii="Arial" w:hAnsi="Arial"/>
      <w:i/>
      <w:sz w:val="22"/>
      <w:szCs w:val="20"/>
    </w:rPr>
  </w:style>
  <w:style w:type="paragraph" w:styleId="Heading7">
    <w:name w:val="heading 7"/>
    <w:basedOn w:val="Normal"/>
    <w:next w:val="Normal"/>
    <w:link w:val="Heading7Char"/>
    <w:qFormat/>
    <w:rsid w:val="008C5CFA"/>
    <w:pPr>
      <w:spacing w:before="240" w:after="60"/>
      <w:ind w:left="1296" w:hanging="1296"/>
      <w:jc w:val="left"/>
      <w:outlineLvl w:val="6"/>
    </w:pPr>
    <w:rPr>
      <w:rFonts w:ascii="Arial" w:hAnsi="Arial"/>
      <w:sz w:val="20"/>
      <w:szCs w:val="20"/>
    </w:rPr>
  </w:style>
  <w:style w:type="paragraph" w:styleId="Heading8">
    <w:name w:val="heading 8"/>
    <w:basedOn w:val="Normal"/>
    <w:next w:val="Normal"/>
    <w:link w:val="Heading8Char"/>
    <w:qFormat/>
    <w:rsid w:val="008C5CFA"/>
    <w:pPr>
      <w:spacing w:before="240" w:after="60"/>
      <w:ind w:left="1440" w:hanging="1440"/>
      <w:jc w:val="left"/>
      <w:outlineLvl w:val="7"/>
    </w:pPr>
    <w:rPr>
      <w:rFonts w:ascii="Arial" w:hAnsi="Arial"/>
      <w:i/>
      <w:sz w:val="20"/>
      <w:szCs w:val="20"/>
    </w:rPr>
  </w:style>
  <w:style w:type="paragraph" w:styleId="Heading9">
    <w:name w:val="heading 9"/>
    <w:basedOn w:val="Normal"/>
    <w:next w:val="Normal"/>
    <w:link w:val="Heading9Char"/>
    <w:qFormat/>
    <w:rsid w:val="008C5CFA"/>
    <w:pPr>
      <w:spacing w:before="240" w:after="60"/>
      <w:ind w:left="1584" w:hanging="1584"/>
      <w:jc w:val="left"/>
      <w:outlineLvl w:val="8"/>
    </w:pPr>
    <w:rPr>
      <w:rFonts w:ascii="Arial" w:hAnsi="Arial"/>
      <w:i/>
      <w:sz w:val="18"/>
      <w:szCs w:val="20"/>
    </w:rPr>
  </w:style>
  <w:style w:type="character" w:default="1" w:styleId="DefaultParagraphFont">
    <w:name w:val="Default Paragraph Font"/>
    <w:semiHidden/>
    <w:rsid w:val="005643CD"/>
    <w:rPr>
      <w:shd w:val="clear" w:color="auto" w:fill="auto"/>
    </w:rPr>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5643CD"/>
  </w:style>
  <w:style w:type="paragraph" w:customStyle="1" w:styleId="Accompagnant">
    <w:name w:val="Accompagnant"/>
    <w:basedOn w:val="Normal"/>
    <w:next w:val="Normal"/>
    <w:rsid w:val="005643CD"/>
    <w:pPr>
      <w:spacing w:before="0" w:after="240"/>
      <w:jc w:val="center"/>
    </w:pPr>
    <w:rPr>
      <w:b/>
      <w:i/>
    </w:rPr>
  </w:style>
  <w:style w:type="paragraph" w:customStyle="1" w:styleId="AccompagnantPagedecouverture">
    <w:name w:val="Accompagnant (Page de couverture)"/>
    <w:basedOn w:val="Accompagnant"/>
    <w:next w:val="Normal"/>
    <w:rsid w:val="005643CD"/>
  </w:style>
  <w:style w:type="character" w:customStyle="1" w:styleId="Added">
    <w:name w:val="Added"/>
    <w:rsid w:val="005643CD"/>
    <w:rPr>
      <w:b/>
      <w:u w:val="single"/>
      <w:shd w:val="clear" w:color="auto" w:fill="auto"/>
    </w:rPr>
  </w:style>
  <w:style w:type="paragraph" w:customStyle="1" w:styleId="Address">
    <w:name w:val="Address"/>
    <w:basedOn w:val="Normal"/>
    <w:next w:val="Normal"/>
    <w:rsid w:val="005643CD"/>
    <w:pPr>
      <w:keepLines/>
      <w:spacing w:line="360" w:lineRule="auto"/>
      <w:ind w:left="3402"/>
      <w:jc w:val="left"/>
    </w:pPr>
  </w:style>
  <w:style w:type="paragraph" w:customStyle="1" w:styleId="Annexetitre">
    <w:name w:val="Annexe titre"/>
    <w:basedOn w:val="Normal"/>
    <w:next w:val="Normal"/>
    <w:rsid w:val="005643CD"/>
    <w:pPr>
      <w:jc w:val="center"/>
    </w:pPr>
    <w:rPr>
      <w:b/>
      <w:u w:val="single"/>
    </w:rPr>
  </w:style>
  <w:style w:type="paragraph" w:customStyle="1" w:styleId="Annexetitreexpos">
    <w:name w:val="Annexe titre (exposé)"/>
    <w:basedOn w:val="Normal"/>
    <w:next w:val="Normal"/>
    <w:rsid w:val="005643CD"/>
    <w:pPr>
      <w:jc w:val="center"/>
    </w:pPr>
    <w:rPr>
      <w:b/>
      <w:u w:val="single"/>
    </w:rPr>
  </w:style>
  <w:style w:type="paragraph" w:customStyle="1" w:styleId="Annexetitrefichefinancire">
    <w:name w:val="Annexe titre (fiche financière)"/>
    <w:basedOn w:val="Normal"/>
    <w:next w:val="Normal"/>
    <w:rsid w:val="005643CD"/>
    <w:pPr>
      <w:jc w:val="center"/>
    </w:pPr>
    <w:rPr>
      <w:b/>
      <w:u w:val="single"/>
    </w:rPr>
  </w:style>
  <w:style w:type="paragraph" w:customStyle="1" w:styleId="Applicationdirecte">
    <w:name w:val="Application directe"/>
    <w:basedOn w:val="Normal"/>
    <w:next w:val="Normal"/>
    <w:rsid w:val="005643CD"/>
    <w:pPr>
      <w:spacing w:before="480"/>
    </w:pPr>
  </w:style>
  <w:style w:type="paragraph" w:customStyle="1" w:styleId="Avertissementtitre">
    <w:name w:val="Avertissement titre"/>
    <w:basedOn w:val="Normal"/>
    <w:next w:val="Normal"/>
    <w:rsid w:val="005643CD"/>
    <w:pPr>
      <w:keepNext/>
      <w:spacing w:before="480"/>
    </w:pPr>
    <w:rPr>
      <w:u w:val="single"/>
    </w:rPr>
  </w:style>
  <w:style w:type="paragraph" w:customStyle="1" w:styleId="Bullet0">
    <w:name w:val="Bullet 0"/>
    <w:basedOn w:val="Normal"/>
    <w:rsid w:val="005643CD"/>
    <w:pPr>
      <w:numPr>
        <w:ilvl w:val="0"/>
        <w:numId w:val="1"/>
      </w:numPr>
    </w:pPr>
  </w:style>
  <w:style w:type="paragraph" w:customStyle="1" w:styleId="Bullet1">
    <w:name w:val="Bullet 1"/>
    <w:basedOn w:val="Normal"/>
    <w:rsid w:val="005643CD"/>
    <w:pPr>
      <w:numPr>
        <w:ilvl w:val="0"/>
        <w:numId w:val="2"/>
      </w:numPr>
    </w:pPr>
  </w:style>
  <w:style w:type="paragraph" w:customStyle="1" w:styleId="Bullet2">
    <w:name w:val="Bullet 2"/>
    <w:basedOn w:val="Normal"/>
    <w:rsid w:val="005643CD"/>
    <w:pPr>
      <w:numPr>
        <w:ilvl w:val="0"/>
        <w:numId w:val="3"/>
      </w:numPr>
    </w:pPr>
  </w:style>
  <w:style w:type="paragraph" w:customStyle="1" w:styleId="Bullet3">
    <w:name w:val="Bullet 3"/>
    <w:basedOn w:val="Normal"/>
    <w:rsid w:val="005643CD"/>
    <w:pPr>
      <w:numPr>
        <w:ilvl w:val="0"/>
        <w:numId w:val="4"/>
      </w:numPr>
    </w:pPr>
  </w:style>
  <w:style w:type="paragraph" w:customStyle="1" w:styleId="Bullet4">
    <w:name w:val="Bullet 4"/>
    <w:basedOn w:val="Normal"/>
    <w:rsid w:val="005643CD"/>
    <w:pPr>
      <w:numPr>
        <w:ilvl w:val="0"/>
        <w:numId w:val="5"/>
      </w:numPr>
    </w:pPr>
  </w:style>
  <w:style w:type="paragraph" w:customStyle="1" w:styleId="ChapterTitle">
    <w:name w:val="ChapterTitle"/>
    <w:basedOn w:val="Normal"/>
    <w:next w:val="Normal"/>
    <w:rsid w:val="005643CD"/>
    <w:pPr>
      <w:keepNext/>
      <w:spacing w:after="360"/>
      <w:jc w:val="center"/>
    </w:pPr>
    <w:rPr>
      <w:b/>
      <w:sz w:val="32"/>
    </w:rPr>
  </w:style>
  <w:style w:type="paragraph" w:customStyle="1" w:styleId="Confidence">
    <w:name w:val="Confidence"/>
    <w:basedOn w:val="Normal"/>
    <w:next w:val="Normal"/>
    <w:rsid w:val="005643CD"/>
    <w:pPr>
      <w:spacing w:before="360"/>
      <w:jc w:val="center"/>
    </w:pPr>
  </w:style>
  <w:style w:type="paragraph" w:customStyle="1" w:styleId="Confidentialit">
    <w:name w:val="Confidentialité"/>
    <w:basedOn w:val="Normal"/>
    <w:next w:val="Normal"/>
    <w:rsid w:val="005643CD"/>
    <w:pPr>
      <w:spacing w:before="240" w:after="240"/>
      <w:ind w:left="5103"/>
    </w:pPr>
    <w:rPr>
      <w:u w:val="single"/>
    </w:rPr>
  </w:style>
  <w:style w:type="paragraph" w:customStyle="1" w:styleId="Considrant">
    <w:name w:val="Considérant"/>
    <w:basedOn w:val="Normal"/>
    <w:rsid w:val="005643CD"/>
    <w:pPr>
      <w:numPr>
        <w:ilvl w:val="0"/>
        <w:numId w:val="6"/>
      </w:numPr>
    </w:pPr>
  </w:style>
  <w:style w:type="paragraph" w:customStyle="1" w:styleId="Corrigendum">
    <w:name w:val="Corrigendum"/>
    <w:basedOn w:val="Normal"/>
    <w:next w:val="Normal"/>
    <w:rsid w:val="005643CD"/>
    <w:pPr>
      <w:spacing w:before="0" w:after="240"/>
      <w:jc w:val="left"/>
    </w:pPr>
  </w:style>
  <w:style w:type="paragraph" w:customStyle="1" w:styleId="Datedadoption">
    <w:name w:val="Date d'adoption"/>
    <w:basedOn w:val="Normal"/>
    <w:next w:val="Normal"/>
    <w:rsid w:val="005643CD"/>
    <w:pPr>
      <w:spacing w:before="360" w:after="0"/>
      <w:jc w:val="center"/>
    </w:pPr>
    <w:rPr>
      <w:b/>
    </w:rPr>
  </w:style>
  <w:style w:type="paragraph" w:customStyle="1" w:styleId="DatedadoptionPagedecouverture">
    <w:name w:val="Date d'adoption (Page de couverture)"/>
    <w:basedOn w:val="Datedadoption"/>
    <w:next w:val="Normal"/>
    <w:rsid w:val="005643CD"/>
  </w:style>
  <w:style w:type="character" w:customStyle="1" w:styleId="Deleted">
    <w:name w:val="Deleted"/>
    <w:rsid w:val="005643CD"/>
    <w:rPr>
      <w:strike/>
      <w:shd w:val="clear" w:color="auto" w:fill="auto"/>
    </w:rPr>
  </w:style>
  <w:style w:type="paragraph" w:customStyle="1" w:styleId="Emission">
    <w:name w:val="Emission"/>
    <w:basedOn w:val="Normal"/>
    <w:next w:val="Normal"/>
    <w:rsid w:val="005643CD"/>
    <w:pPr>
      <w:spacing w:before="0" w:after="0"/>
      <w:ind w:left="5103"/>
      <w:jc w:val="left"/>
    </w:pPr>
  </w:style>
  <w:style w:type="paragraph" w:customStyle="1" w:styleId="Exposdesmotifstitre">
    <w:name w:val="Exposé des motifs titre"/>
    <w:basedOn w:val="Normal"/>
    <w:next w:val="Normal"/>
    <w:rsid w:val="005643CD"/>
    <w:pPr>
      <w:jc w:val="center"/>
    </w:pPr>
    <w:rPr>
      <w:b/>
      <w:u w:val="single"/>
    </w:rPr>
  </w:style>
  <w:style w:type="paragraph" w:customStyle="1" w:styleId="Fait">
    <w:name w:val="Fait à"/>
    <w:basedOn w:val="Normal"/>
    <w:next w:val="Normal"/>
    <w:rsid w:val="005643CD"/>
    <w:pPr>
      <w:keepNext/>
      <w:spacing w:after="0"/>
    </w:pPr>
  </w:style>
  <w:style w:type="paragraph" w:customStyle="1" w:styleId="Fichefinanciretitre">
    <w:name w:val="Fiche financière titre"/>
    <w:basedOn w:val="Normal"/>
    <w:next w:val="Normal"/>
    <w:rsid w:val="005643CD"/>
    <w:pPr>
      <w:jc w:val="center"/>
    </w:pPr>
    <w:rPr>
      <w:b/>
      <w:u w:val="single"/>
    </w:rPr>
  </w:style>
  <w:style w:type="paragraph" w:styleId="Footer">
    <w:name w:val="footer"/>
    <w:basedOn w:val="Normal"/>
    <w:link w:val="FooterChar"/>
    <w:uiPriority w:val="99"/>
    <w:rsid w:val="005643CD"/>
    <w:pPr>
      <w:tabs>
        <w:tab w:val="center" w:pos="4535"/>
        <w:tab w:val="right" w:pos="9071"/>
        <w:tab w:val="right" w:pos="9921"/>
      </w:tabs>
      <w:spacing w:before="360" w:after="0"/>
      <w:ind w:left="-850" w:right="-850"/>
      <w:jc w:val="left"/>
    </w:pPr>
  </w:style>
  <w:style w:type="paragraph" w:customStyle="1" w:styleId="FooterLandscape">
    <w:name w:val="FooterLandscape"/>
    <w:basedOn w:val="Normal"/>
    <w:rsid w:val="005643CD"/>
    <w:pPr>
      <w:tabs>
        <w:tab w:val="center" w:pos="7285"/>
        <w:tab w:val="center" w:pos="10913"/>
        <w:tab w:val="right" w:pos="15137"/>
      </w:tabs>
      <w:spacing w:before="360" w:after="0"/>
      <w:ind w:left="-567" w:right="-567"/>
      <w:jc w:val="left"/>
    </w:pPr>
  </w:style>
  <w:style w:type="character" w:styleId="FootnoteReference">
    <w:name w:val="footnote reference"/>
    <w:aliases w:val="BVI fnr,Footnote symbol"/>
    <w:semiHidden/>
    <w:rsid w:val="005643CD"/>
    <w:rPr>
      <w:shd w:val="clear" w:color="auto" w:fill="auto"/>
      <w:vertAlign w:val="superscript"/>
    </w:rPr>
  </w:style>
  <w:style w:type="paragraph" w:styleId="FootnoteText">
    <w:name w:val="footnote text"/>
    <w:basedOn w:val="Normal"/>
    <w:link w:val="FootnoteTextChar"/>
    <w:semiHidden/>
    <w:rsid w:val="005643CD"/>
    <w:pPr>
      <w:spacing w:before="0" w:after="0"/>
      <w:ind w:left="720" w:hanging="720"/>
    </w:pPr>
    <w:rPr>
      <w:sz w:val="20"/>
      <w:szCs w:val="20"/>
    </w:rPr>
  </w:style>
  <w:style w:type="paragraph" w:customStyle="1" w:styleId="Formuledadoption">
    <w:name w:val="Formule d'adoption"/>
    <w:basedOn w:val="Normal"/>
    <w:next w:val="Normal"/>
    <w:rsid w:val="005643CD"/>
    <w:pPr>
      <w:keepNext/>
    </w:pPr>
  </w:style>
  <w:style w:type="paragraph" w:styleId="Header">
    <w:name w:val="header"/>
    <w:basedOn w:val="Normal"/>
    <w:link w:val="HeaderChar"/>
    <w:uiPriority w:val="99"/>
    <w:rsid w:val="005643CD"/>
    <w:pPr>
      <w:tabs>
        <w:tab w:val="center" w:pos="4535"/>
        <w:tab w:val="right" w:pos="9071"/>
      </w:tabs>
    </w:pPr>
  </w:style>
  <w:style w:type="paragraph" w:customStyle="1" w:styleId="HeaderLandscape">
    <w:name w:val="HeaderLandscape"/>
    <w:basedOn w:val="Normal"/>
    <w:rsid w:val="005643CD"/>
    <w:pPr>
      <w:tabs>
        <w:tab w:val="center" w:pos="7285"/>
        <w:tab w:val="right" w:pos="14003"/>
      </w:tabs>
    </w:pPr>
  </w:style>
  <w:style w:type="paragraph" w:customStyle="1" w:styleId="Institutionquiagit">
    <w:name w:val="Institution qui agit"/>
    <w:basedOn w:val="Normal"/>
    <w:next w:val="Normal"/>
    <w:rsid w:val="005643CD"/>
    <w:pPr>
      <w:keepNext/>
      <w:spacing w:before="600"/>
    </w:pPr>
  </w:style>
  <w:style w:type="paragraph" w:customStyle="1" w:styleId="Institutionquisigne">
    <w:name w:val="Institution qui signe"/>
    <w:basedOn w:val="Normal"/>
    <w:next w:val="Normal"/>
    <w:rsid w:val="005643CD"/>
    <w:pPr>
      <w:keepNext/>
      <w:tabs>
        <w:tab w:val="left" w:pos="4252"/>
      </w:tabs>
      <w:spacing w:before="720" w:after="0"/>
    </w:pPr>
    <w:rPr>
      <w:i/>
    </w:rPr>
  </w:style>
  <w:style w:type="paragraph" w:customStyle="1" w:styleId="Languesfaisantfoi">
    <w:name w:val="Langues faisant foi"/>
    <w:basedOn w:val="Normal"/>
    <w:next w:val="Normal"/>
    <w:rsid w:val="005643CD"/>
    <w:pPr>
      <w:spacing w:before="360" w:after="0"/>
      <w:jc w:val="center"/>
    </w:pPr>
  </w:style>
  <w:style w:type="paragraph" w:customStyle="1" w:styleId="IntrtEEE">
    <w:name w:val="Intérêt EEE"/>
    <w:basedOn w:val="Languesfaisantfoi"/>
    <w:next w:val="Normal"/>
    <w:rsid w:val="005643CD"/>
    <w:pPr>
      <w:spacing w:after="240"/>
    </w:pPr>
  </w:style>
  <w:style w:type="paragraph" w:customStyle="1" w:styleId="IntrtEEEPagedecouverture">
    <w:name w:val="Intérêt EEE (Page de couverture)"/>
    <w:basedOn w:val="IntrtEEE"/>
    <w:next w:val="Normal"/>
    <w:rsid w:val="005643CD"/>
  </w:style>
  <w:style w:type="paragraph" w:customStyle="1" w:styleId="Langue">
    <w:name w:val="Langue"/>
    <w:basedOn w:val="Normal"/>
    <w:next w:val="Normal"/>
    <w:rsid w:val="005643CD"/>
    <w:pPr>
      <w:framePr w:wrap="around" w:vAnchor="page" w:hAnchor="text" w:xAlign="center" w:y="14741"/>
      <w:spacing w:before="0" w:after="600"/>
      <w:jc w:val="center"/>
    </w:pPr>
    <w:rPr>
      <w:b/>
      <w:caps/>
    </w:rPr>
  </w:style>
  <w:style w:type="paragraph" w:customStyle="1" w:styleId="LanguesfaisantfoiPagedecouverture">
    <w:name w:val="Langues faisant foi (Page de couverture)"/>
    <w:basedOn w:val="Normal"/>
    <w:next w:val="Normal"/>
    <w:rsid w:val="005643CD"/>
    <w:pPr>
      <w:spacing w:before="360" w:after="0"/>
      <w:jc w:val="center"/>
    </w:pPr>
  </w:style>
  <w:style w:type="paragraph" w:customStyle="1" w:styleId="ManualConsidrant">
    <w:name w:val="Manual Considérant"/>
    <w:basedOn w:val="Normal"/>
    <w:rsid w:val="005643CD"/>
    <w:pPr>
      <w:ind w:left="709" w:hanging="709"/>
    </w:pPr>
  </w:style>
  <w:style w:type="paragraph" w:customStyle="1" w:styleId="ManualHeading1">
    <w:name w:val="Manual Heading 1"/>
    <w:basedOn w:val="Normal"/>
    <w:next w:val="Normal"/>
    <w:rsid w:val="005643CD"/>
    <w:pPr>
      <w:keepNext/>
      <w:tabs>
        <w:tab w:val="left" w:pos="850"/>
      </w:tabs>
      <w:spacing w:before="360"/>
      <w:ind w:left="850" w:hanging="850"/>
      <w:outlineLvl w:val="0"/>
    </w:pPr>
    <w:rPr>
      <w:b/>
      <w:smallCaps/>
    </w:rPr>
  </w:style>
  <w:style w:type="paragraph" w:customStyle="1" w:styleId="ManualHeading2">
    <w:name w:val="Manual Heading 2"/>
    <w:basedOn w:val="Normal"/>
    <w:next w:val="Normal"/>
    <w:qFormat/>
    <w:rsid w:val="005643CD"/>
    <w:pPr>
      <w:keepNext/>
      <w:tabs>
        <w:tab w:val="left" w:pos="850"/>
      </w:tabs>
      <w:ind w:left="850" w:hanging="850"/>
      <w:outlineLvl w:val="1"/>
    </w:pPr>
    <w:rPr>
      <w:b/>
    </w:rPr>
  </w:style>
  <w:style w:type="paragraph" w:customStyle="1" w:styleId="ManualHeading3">
    <w:name w:val="Manual Heading 3"/>
    <w:basedOn w:val="Normal"/>
    <w:next w:val="Normal"/>
    <w:qFormat/>
    <w:rsid w:val="005643CD"/>
    <w:pPr>
      <w:keepNext/>
      <w:tabs>
        <w:tab w:val="left" w:pos="850"/>
      </w:tabs>
      <w:ind w:left="850" w:hanging="850"/>
      <w:outlineLvl w:val="2"/>
    </w:pPr>
    <w:rPr>
      <w:i/>
    </w:rPr>
  </w:style>
  <w:style w:type="paragraph" w:customStyle="1" w:styleId="ManualHeading4">
    <w:name w:val="Manual Heading 4"/>
    <w:basedOn w:val="Normal"/>
    <w:next w:val="Normal"/>
    <w:rsid w:val="005643CD"/>
    <w:pPr>
      <w:keepNext/>
      <w:tabs>
        <w:tab w:val="left" w:pos="850"/>
      </w:tabs>
      <w:ind w:left="850" w:hanging="850"/>
      <w:outlineLvl w:val="3"/>
    </w:pPr>
  </w:style>
  <w:style w:type="paragraph" w:customStyle="1" w:styleId="ManualNumPar1">
    <w:name w:val="Manual NumPar 1"/>
    <w:basedOn w:val="Normal"/>
    <w:next w:val="Normal"/>
    <w:link w:val="ManualNumPar1Char"/>
    <w:rsid w:val="005643CD"/>
    <w:pPr>
      <w:ind w:left="850" w:hanging="850"/>
    </w:pPr>
  </w:style>
  <w:style w:type="paragraph" w:customStyle="1" w:styleId="ManualNumPar2">
    <w:name w:val="Manual NumPar 2"/>
    <w:basedOn w:val="Normal"/>
    <w:next w:val="Normal"/>
    <w:rsid w:val="005643CD"/>
    <w:pPr>
      <w:ind w:left="850" w:hanging="850"/>
    </w:pPr>
  </w:style>
  <w:style w:type="paragraph" w:customStyle="1" w:styleId="ManualNumPar3">
    <w:name w:val="Manual NumPar 3"/>
    <w:basedOn w:val="Normal"/>
    <w:next w:val="Normal"/>
    <w:rsid w:val="005643CD"/>
    <w:pPr>
      <w:ind w:left="850" w:hanging="850"/>
    </w:pPr>
  </w:style>
  <w:style w:type="paragraph" w:customStyle="1" w:styleId="ManualNumPar4">
    <w:name w:val="Manual NumPar 4"/>
    <w:basedOn w:val="Normal"/>
    <w:next w:val="Normal"/>
    <w:rsid w:val="005643CD"/>
    <w:pPr>
      <w:ind w:left="850" w:hanging="850"/>
    </w:pPr>
  </w:style>
  <w:style w:type="character" w:customStyle="1" w:styleId="Marker">
    <w:name w:val="Marker"/>
    <w:rsid w:val="005643CD"/>
    <w:rPr>
      <w:color w:val="0000FF"/>
      <w:shd w:val="clear" w:color="auto" w:fill="auto"/>
    </w:rPr>
  </w:style>
  <w:style w:type="character" w:customStyle="1" w:styleId="Marker1">
    <w:name w:val="Marker1"/>
    <w:rsid w:val="005643CD"/>
    <w:rPr>
      <w:color w:val="008000"/>
      <w:shd w:val="clear" w:color="auto" w:fill="auto"/>
    </w:rPr>
  </w:style>
  <w:style w:type="character" w:customStyle="1" w:styleId="Marker2">
    <w:name w:val="Marker2"/>
    <w:rsid w:val="005643CD"/>
    <w:rPr>
      <w:color w:val="FF0000"/>
      <w:shd w:val="clear" w:color="auto" w:fill="auto"/>
    </w:rPr>
  </w:style>
  <w:style w:type="paragraph" w:customStyle="1" w:styleId="Nomdelinstitution">
    <w:name w:val="Nom de l'institution"/>
    <w:basedOn w:val="Normal"/>
    <w:next w:val="Emission"/>
    <w:rsid w:val="005643CD"/>
    <w:pPr>
      <w:spacing w:before="0" w:after="0"/>
      <w:jc w:val="left"/>
    </w:pPr>
    <w:rPr>
      <w:rFonts w:ascii="Arial" w:hAnsi="Arial" w:cs="Arial"/>
    </w:rPr>
  </w:style>
  <w:style w:type="paragraph" w:customStyle="1" w:styleId="NormalCentered">
    <w:name w:val="Normal Centered"/>
    <w:basedOn w:val="Normal"/>
    <w:rsid w:val="005643CD"/>
    <w:pPr>
      <w:jc w:val="center"/>
    </w:pPr>
  </w:style>
  <w:style w:type="paragraph" w:customStyle="1" w:styleId="NormalLeft">
    <w:name w:val="Normal Left"/>
    <w:basedOn w:val="Normal"/>
    <w:rsid w:val="005643CD"/>
    <w:pPr>
      <w:jc w:val="left"/>
    </w:pPr>
  </w:style>
  <w:style w:type="paragraph" w:customStyle="1" w:styleId="NormalRight">
    <w:name w:val="Normal Right"/>
    <w:basedOn w:val="Normal"/>
    <w:rsid w:val="005643CD"/>
    <w:pPr>
      <w:jc w:val="right"/>
    </w:pPr>
  </w:style>
  <w:style w:type="paragraph" w:customStyle="1" w:styleId="NumPar1">
    <w:name w:val="NumPar 1"/>
    <w:basedOn w:val="Normal"/>
    <w:next w:val="Normal"/>
    <w:rsid w:val="005643CD"/>
    <w:pPr>
      <w:numPr>
        <w:ilvl w:val="0"/>
        <w:numId w:val="8"/>
      </w:numPr>
    </w:pPr>
  </w:style>
  <w:style w:type="paragraph" w:customStyle="1" w:styleId="NumPar2">
    <w:name w:val="NumPar 2"/>
    <w:basedOn w:val="Normal"/>
    <w:next w:val="Normal"/>
    <w:rsid w:val="005643CD"/>
    <w:pPr>
      <w:numPr>
        <w:ilvl w:val="1"/>
        <w:numId w:val="8"/>
      </w:numPr>
    </w:pPr>
  </w:style>
  <w:style w:type="paragraph" w:customStyle="1" w:styleId="NumPar3">
    <w:name w:val="NumPar 3"/>
    <w:basedOn w:val="Normal"/>
    <w:next w:val="Normal"/>
    <w:rsid w:val="005643CD"/>
    <w:pPr>
      <w:numPr>
        <w:ilvl w:val="2"/>
        <w:numId w:val="8"/>
      </w:numPr>
    </w:pPr>
  </w:style>
  <w:style w:type="paragraph" w:customStyle="1" w:styleId="NumPar4">
    <w:name w:val="NumPar 4"/>
    <w:basedOn w:val="Normal"/>
    <w:next w:val="Normal"/>
    <w:rsid w:val="005643CD"/>
    <w:pPr>
      <w:numPr>
        <w:ilvl w:val="3"/>
        <w:numId w:val="8"/>
      </w:numPr>
    </w:pPr>
  </w:style>
  <w:style w:type="paragraph" w:customStyle="1" w:styleId="Objetacteprincipal">
    <w:name w:val="Objet acte principal"/>
    <w:basedOn w:val="Normal"/>
    <w:next w:val="Normal"/>
    <w:rsid w:val="005643CD"/>
    <w:pPr>
      <w:spacing w:before="0" w:after="360"/>
      <w:jc w:val="center"/>
    </w:pPr>
    <w:rPr>
      <w:b/>
    </w:rPr>
  </w:style>
  <w:style w:type="paragraph" w:customStyle="1" w:styleId="ObjetacteprincipalPagedecouverture">
    <w:name w:val="Objet acte principal (Page de couverture)"/>
    <w:basedOn w:val="Objetacteprincipal"/>
    <w:next w:val="Normal"/>
    <w:rsid w:val="005643CD"/>
  </w:style>
  <w:style w:type="paragraph" w:customStyle="1" w:styleId="Objetexterne">
    <w:name w:val="Objet externe"/>
    <w:basedOn w:val="Normal"/>
    <w:next w:val="Normal"/>
    <w:rsid w:val="005643CD"/>
    <w:rPr>
      <w:i/>
      <w:caps/>
    </w:rPr>
  </w:style>
  <w:style w:type="paragraph" w:customStyle="1" w:styleId="Pagedecouverture">
    <w:name w:val="Page de couverture"/>
    <w:basedOn w:val="Normal"/>
    <w:next w:val="Normal"/>
    <w:rsid w:val="005643CD"/>
  </w:style>
  <w:style w:type="paragraph" w:customStyle="1" w:styleId="PartTitle">
    <w:name w:val="PartTitle"/>
    <w:basedOn w:val="Normal"/>
    <w:next w:val="ChapterTitle"/>
    <w:rsid w:val="005643CD"/>
    <w:pPr>
      <w:keepNext/>
      <w:pageBreakBefore/>
      <w:spacing w:after="360"/>
      <w:jc w:val="center"/>
    </w:pPr>
    <w:rPr>
      <w:b/>
      <w:sz w:val="36"/>
    </w:rPr>
  </w:style>
  <w:style w:type="paragraph" w:customStyle="1" w:styleId="Personnequisigne">
    <w:name w:val="Personne qui signe"/>
    <w:basedOn w:val="Normal"/>
    <w:next w:val="Institutionquisigne"/>
    <w:rsid w:val="005643CD"/>
    <w:pPr>
      <w:tabs>
        <w:tab w:val="left" w:pos="4252"/>
      </w:tabs>
      <w:spacing w:before="0" w:after="0"/>
      <w:jc w:val="left"/>
    </w:pPr>
    <w:rPr>
      <w:i/>
    </w:rPr>
  </w:style>
  <w:style w:type="paragraph" w:customStyle="1" w:styleId="Point0">
    <w:name w:val="Point 0"/>
    <w:basedOn w:val="Normal"/>
    <w:rsid w:val="005643CD"/>
    <w:pPr>
      <w:ind w:left="850" w:hanging="850"/>
    </w:pPr>
  </w:style>
  <w:style w:type="paragraph" w:customStyle="1" w:styleId="Point0letter">
    <w:name w:val="Point 0 (letter)"/>
    <w:basedOn w:val="Normal"/>
    <w:rsid w:val="005643CD"/>
    <w:pPr>
      <w:numPr>
        <w:ilvl w:val="1"/>
        <w:numId w:val="9"/>
      </w:numPr>
    </w:pPr>
  </w:style>
  <w:style w:type="paragraph" w:customStyle="1" w:styleId="Point0number">
    <w:name w:val="Point 0 (number)"/>
    <w:basedOn w:val="Normal"/>
    <w:rsid w:val="005643CD"/>
    <w:pPr>
      <w:numPr>
        <w:ilvl w:val="0"/>
        <w:numId w:val="9"/>
      </w:numPr>
    </w:pPr>
  </w:style>
  <w:style w:type="paragraph" w:customStyle="1" w:styleId="Point1">
    <w:name w:val="Point 1"/>
    <w:basedOn w:val="Normal"/>
    <w:rsid w:val="005643CD"/>
    <w:pPr>
      <w:ind w:left="1417" w:hanging="567"/>
    </w:pPr>
  </w:style>
  <w:style w:type="paragraph" w:customStyle="1" w:styleId="Point1letter">
    <w:name w:val="Point 1 (letter)"/>
    <w:basedOn w:val="Normal"/>
    <w:rsid w:val="005643CD"/>
    <w:pPr>
      <w:numPr>
        <w:ilvl w:val="3"/>
        <w:numId w:val="9"/>
      </w:numPr>
    </w:pPr>
  </w:style>
  <w:style w:type="paragraph" w:customStyle="1" w:styleId="Point1number">
    <w:name w:val="Point 1 (number)"/>
    <w:basedOn w:val="Normal"/>
    <w:rsid w:val="005643CD"/>
    <w:pPr>
      <w:numPr>
        <w:ilvl w:val="2"/>
        <w:numId w:val="9"/>
      </w:numPr>
    </w:pPr>
  </w:style>
  <w:style w:type="paragraph" w:customStyle="1" w:styleId="Point2">
    <w:name w:val="Point 2"/>
    <w:basedOn w:val="Normal"/>
    <w:rsid w:val="005643CD"/>
    <w:pPr>
      <w:ind w:left="1984" w:hanging="567"/>
    </w:pPr>
  </w:style>
  <w:style w:type="paragraph" w:customStyle="1" w:styleId="Point2letter">
    <w:name w:val="Point 2 (letter)"/>
    <w:basedOn w:val="Normal"/>
    <w:rsid w:val="005643CD"/>
    <w:pPr>
      <w:numPr>
        <w:ilvl w:val="5"/>
        <w:numId w:val="9"/>
      </w:numPr>
    </w:pPr>
  </w:style>
  <w:style w:type="paragraph" w:customStyle="1" w:styleId="Point2number">
    <w:name w:val="Point 2 (number)"/>
    <w:basedOn w:val="Normal"/>
    <w:rsid w:val="005643CD"/>
    <w:pPr>
      <w:numPr>
        <w:ilvl w:val="4"/>
        <w:numId w:val="9"/>
      </w:numPr>
    </w:pPr>
  </w:style>
  <w:style w:type="paragraph" w:customStyle="1" w:styleId="Point3">
    <w:name w:val="Point 3"/>
    <w:basedOn w:val="Normal"/>
    <w:rsid w:val="005643CD"/>
    <w:pPr>
      <w:ind w:left="2551" w:hanging="567"/>
    </w:pPr>
  </w:style>
  <w:style w:type="paragraph" w:customStyle="1" w:styleId="Point3letter">
    <w:name w:val="Point 3 (letter)"/>
    <w:basedOn w:val="Normal"/>
    <w:rsid w:val="005643CD"/>
    <w:pPr>
      <w:numPr>
        <w:ilvl w:val="7"/>
        <w:numId w:val="9"/>
      </w:numPr>
    </w:pPr>
  </w:style>
  <w:style w:type="paragraph" w:customStyle="1" w:styleId="Point3number">
    <w:name w:val="Point 3 (number)"/>
    <w:basedOn w:val="Normal"/>
    <w:rsid w:val="005643CD"/>
    <w:pPr>
      <w:numPr>
        <w:ilvl w:val="6"/>
        <w:numId w:val="9"/>
      </w:numPr>
    </w:pPr>
  </w:style>
  <w:style w:type="paragraph" w:customStyle="1" w:styleId="Point4">
    <w:name w:val="Point 4"/>
    <w:basedOn w:val="Normal"/>
    <w:rsid w:val="005643CD"/>
    <w:pPr>
      <w:ind w:left="3118" w:hanging="567"/>
    </w:pPr>
  </w:style>
  <w:style w:type="paragraph" w:customStyle="1" w:styleId="Point4letter">
    <w:name w:val="Point 4 (letter)"/>
    <w:basedOn w:val="Normal"/>
    <w:rsid w:val="005643CD"/>
    <w:pPr>
      <w:numPr>
        <w:ilvl w:val="8"/>
        <w:numId w:val="9"/>
      </w:numPr>
    </w:pPr>
  </w:style>
  <w:style w:type="paragraph" w:customStyle="1" w:styleId="PointDouble0">
    <w:name w:val="PointDouble 0"/>
    <w:basedOn w:val="Normal"/>
    <w:rsid w:val="005643CD"/>
    <w:pPr>
      <w:tabs>
        <w:tab w:val="left" w:pos="850"/>
      </w:tabs>
      <w:ind w:left="1417" w:hanging="1417"/>
    </w:pPr>
  </w:style>
  <w:style w:type="paragraph" w:customStyle="1" w:styleId="PointDouble1">
    <w:name w:val="PointDouble 1"/>
    <w:basedOn w:val="Normal"/>
    <w:rsid w:val="005643CD"/>
    <w:pPr>
      <w:tabs>
        <w:tab w:val="left" w:pos="1417"/>
      </w:tabs>
      <w:ind w:left="1984" w:hanging="1134"/>
    </w:pPr>
  </w:style>
  <w:style w:type="paragraph" w:customStyle="1" w:styleId="PointDouble2">
    <w:name w:val="PointDouble 2"/>
    <w:basedOn w:val="Normal"/>
    <w:rsid w:val="005643CD"/>
    <w:pPr>
      <w:tabs>
        <w:tab w:val="left" w:pos="1984"/>
      </w:tabs>
      <w:ind w:left="2551" w:hanging="1134"/>
    </w:pPr>
  </w:style>
  <w:style w:type="paragraph" w:customStyle="1" w:styleId="PointDouble3">
    <w:name w:val="PointDouble 3"/>
    <w:basedOn w:val="Normal"/>
    <w:rsid w:val="005643CD"/>
    <w:pPr>
      <w:tabs>
        <w:tab w:val="left" w:pos="2551"/>
      </w:tabs>
      <w:ind w:left="3118" w:hanging="1134"/>
    </w:pPr>
  </w:style>
  <w:style w:type="paragraph" w:customStyle="1" w:styleId="PointDouble4">
    <w:name w:val="PointDouble 4"/>
    <w:basedOn w:val="Normal"/>
    <w:rsid w:val="005643CD"/>
    <w:pPr>
      <w:tabs>
        <w:tab w:val="left" w:pos="3118"/>
      </w:tabs>
      <w:ind w:left="3685" w:hanging="1134"/>
    </w:pPr>
  </w:style>
  <w:style w:type="paragraph" w:customStyle="1" w:styleId="PointTriple0">
    <w:name w:val="PointTriple 0"/>
    <w:basedOn w:val="Normal"/>
    <w:rsid w:val="005643CD"/>
    <w:pPr>
      <w:tabs>
        <w:tab w:val="left" w:pos="850"/>
        <w:tab w:val="left" w:pos="1417"/>
      </w:tabs>
      <w:ind w:left="1984" w:hanging="1984"/>
    </w:pPr>
  </w:style>
  <w:style w:type="paragraph" w:customStyle="1" w:styleId="PointTriple1">
    <w:name w:val="PointTriple 1"/>
    <w:basedOn w:val="Normal"/>
    <w:rsid w:val="005643CD"/>
    <w:pPr>
      <w:tabs>
        <w:tab w:val="left" w:pos="1417"/>
        <w:tab w:val="left" w:pos="1984"/>
      </w:tabs>
      <w:ind w:left="2551" w:hanging="1701"/>
    </w:pPr>
  </w:style>
  <w:style w:type="paragraph" w:customStyle="1" w:styleId="PointTriple2">
    <w:name w:val="PointTriple 2"/>
    <w:basedOn w:val="Normal"/>
    <w:rsid w:val="005643CD"/>
    <w:pPr>
      <w:tabs>
        <w:tab w:val="left" w:pos="1984"/>
        <w:tab w:val="left" w:pos="2551"/>
      </w:tabs>
      <w:ind w:left="3118" w:hanging="1701"/>
    </w:pPr>
  </w:style>
  <w:style w:type="paragraph" w:customStyle="1" w:styleId="PointTriple3">
    <w:name w:val="PointTriple 3"/>
    <w:basedOn w:val="Normal"/>
    <w:rsid w:val="005643CD"/>
    <w:pPr>
      <w:tabs>
        <w:tab w:val="left" w:pos="2551"/>
        <w:tab w:val="left" w:pos="3118"/>
      </w:tabs>
      <w:ind w:left="3685" w:hanging="1701"/>
    </w:pPr>
  </w:style>
  <w:style w:type="paragraph" w:customStyle="1" w:styleId="PointTriple4">
    <w:name w:val="PointTriple 4"/>
    <w:basedOn w:val="Normal"/>
    <w:rsid w:val="005643CD"/>
    <w:pPr>
      <w:tabs>
        <w:tab w:val="left" w:pos="3118"/>
        <w:tab w:val="left" w:pos="3685"/>
      </w:tabs>
      <w:ind w:left="4252" w:hanging="1701"/>
    </w:pPr>
  </w:style>
  <w:style w:type="paragraph" w:customStyle="1" w:styleId="QuotedNumPar">
    <w:name w:val="Quoted NumPar"/>
    <w:basedOn w:val="Normal"/>
    <w:rsid w:val="005643CD"/>
    <w:pPr>
      <w:ind w:left="1417" w:hanging="567"/>
    </w:pPr>
  </w:style>
  <w:style w:type="paragraph" w:customStyle="1" w:styleId="QuotedText">
    <w:name w:val="Quoted Text"/>
    <w:basedOn w:val="Normal"/>
    <w:rsid w:val="005643CD"/>
    <w:pPr>
      <w:ind w:left="1417"/>
    </w:pPr>
  </w:style>
  <w:style w:type="paragraph" w:customStyle="1" w:styleId="Rfrencecroise">
    <w:name w:val="Référence croisée"/>
    <w:basedOn w:val="Normal"/>
    <w:rsid w:val="005643CD"/>
    <w:pPr>
      <w:spacing w:before="0" w:after="0"/>
      <w:jc w:val="center"/>
    </w:pPr>
  </w:style>
  <w:style w:type="paragraph" w:customStyle="1" w:styleId="Rfrenceinstitutionnelle">
    <w:name w:val="Référence institutionnelle"/>
    <w:basedOn w:val="Normal"/>
    <w:next w:val="Confidentialit"/>
    <w:rsid w:val="005643CD"/>
    <w:pPr>
      <w:spacing w:before="0" w:after="240"/>
      <w:ind w:left="5103"/>
      <w:jc w:val="left"/>
    </w:pPr>
  </w:style>
  <w:style w:type="paragraph" w:customStyle="1" w:styleId="Rfrenceinterinstitutionnelle">
    <w:name w:val="Référence interinstitutionnelle"/>
    <w:basedOn w:val="Normal"/>
    <w:next w:val="Normal"/>
    <w:rsid w:val="005643CD"/>
    <w:pPr>
      <w:spacing w:before="0" w:after="0"/>
      <w:ind w:left="5103"/>
      <w:jc w:val="left"/>
    </w:pPr>
  </w:style>
  <w:style w:type="paragraph" w:customStyle="1" w:styleId="RfrenceinterinstitutionnellePagedecouverture">
    <w:name w:val="Référence interinstitutionnelle (Page de couverture)"/>
    <w:basedOn w:val="Rfrenceinterinstitutionnelle"/>
    <w:next w:val="Confidentialit"/>
    <w:rsid w:val="005643CD"/>
  </w:style>
  <w:style w:type="paragraph" w:customStyle="1" w:styleId="Rfrenceinterne">
    <w:name w:val="Référence interne"/>
    <w:basedOn w:val="Normal"/>
    <w:next w:val="Rfrenceinterinstitutionnelle"/>
    <w:rsid w:val="005643CD"/>
    <w:pPr>
      <w:spacing w:before="0" w:after="0"/>
      <w:ind w:left="5103"/>
      <w:jc w:val="left"/>
    </w:pPr>
  </w:style>
  <w:style w:type="paragraph" w:customStyle="1" w:styleId="SectionTitle">
    <w:name w:val="SectionTitle"/>
    <w:basedOn w:val="Normal"/>
    <w:next w:val="Heading1"/>
    <w:rsid w:val="005643CD"/>
    <w:pPr>
      <w:keepNext/>
      <w:spacing w:after="360"/>
      <w:jc w:val="center"/>
    </w:pPr>
    <w:rPr>
      <w:b/>
      <w:smallCaps/>
      <w:sz w:val="28"/>
    </w:rPr>
  </w:style>
  <w:style w:type="paragraph" w:customStyle="1" w:styleId="Sous-titreobjet">
    <w:name w:val="Sous-titre objet"/>
    <w:basedOn w:val="Normal"/>
    <w:rsid w:val="005643CD"/>
    <w:pPr>
      <w:spacing w:before="0" w:after="0"/>
      <w:jc w:val="center"/>
    </w:pPr>
    <w:rPr>
      <w:b/>
    </w:rPr>
  </w:style>
  <w:style w:type="paragraph" w:customStyle="1" w:styleId="Sous-titreobjetPagedecouverture">
    <w:name w:val="Sous-titre objet (Page de couverture)"/>
    <w:basedOn w:val="Sous-titreobjet"/>
    <w:rsid w:val="005643CD"/>
  </w:style>
  <w:style w:type="paragraph" w:customStyle="1" w:styleId="Statut">
    <w:name w:val="Statut"/>
    <w:basedOn w:val="Normal"/>
    <w:next w:val="Normal"/>
    <w:rsid w:val="005643CD"/>
    <w:pPr>
      <w:spacing w:before="360" w:after="0"/>
      <w:jc w:val="center"/>
    </w:pPr>
  </w:style>
  <w:style w:type="paragraph" w:customStyle="1" w:styleId="StatutPagedecouverture">
    <w:name w:val="Statut (Page de couverture)"/>
    <w:basedOn w:val="Statut"/>
    <w:next w:val="Normal"/>
    <w:rsid w:val="005643CD"/>
  </w:style>
  <w:style w:type="paragraph" w:customStyle="1" w:styleId="Supertitre">
    <w:name w:val="Supertitre"/>
    <w:basedOn w:val="Normal"/>
    <w:next w:val="Normal"/>
    <w:rsid w:val="005643CD"/>
    <w:pPr>
      <w:spacing w:before="0" w:after="600"/>
      <w:jc w:val="center"/>
    </w:pPr>
    <w:rPr>
      <w:b/>
    </w:rPr>
  </w:style>
  <w:style w:type="paragraph" w:customStyle="1" w:styleId="TableTitle">
    <w:name w:val="Table Title"/>
    <w:basedOn w:val="Normal"/>
    <w:next w:val="Normal"/>
    <w:rsid w:val="005643CD"/>
    <w:pPr>
      <w:jc w:val="center"/>
    </w:pPr>
    <w:rPr>
      <w:b/>
    </w:rPr>
  </w:style>
  <w:style w:type="paragraph" w:customStyle="1" w:styleId="Text1">
    <w:name w:val="Text 1"/>
    <w:basedOn w:val="Normal"/>
    <w:link w:val="Text1Char"/>
    <w:rsid w:val="005643CD"/>
    <w:pPr>
      <w:ind w:left="850"/>
    </w:pPr>
  </w:style>
  <w:style w:type="paragraph" w:customStyle="1" w:styleId="Text2">
    <w:name w:val="Text 2"/>
    <w:basedOn w:val="Normal"/>
    <w:rsid w:val="005643CD"/>
    <w:pPr>
      <w:ind w:left="1417"/>
    </w:pPr>
  </w:style>
  <w:style w:type="paragraph" w:customStyle="1" w:styleId="Text3">
    <w:name w:val="Text 3"/>
    <w:basedOn w:val="Normal"/>
    <w:rsid w:val="005643CD"/>
    <w:pPr>
      <w:ind w:left="1984"/>
    </w:pPr>
  </w:style>
  <w:style w:type="paragraph" w:customStyle="1" w:styleId="Text4">
    <w:name w:val="Text 4"/>
    <w:basedOn w:val="Normal"/>
    <w:rsid w:val="005643CD"/>
    <w:pPr>
      <w:ind w:left="2551"/>
    </w:pPr>
  </w:style>
  <w:style w:type="paragraph" w:customStyle="1" w:styleId="Tiret0">
    <w:name w:val="Tiret 0"/>
    <w:basedOn w:val="Point0"/>
    <w:rsid w:val="005643CD"/>
    <w:pPr>
      <w:numPr>
        <w:ilvl w:val="0"/>
        <w:numId w:val="10"/>
      </w:numPr>
    </w:pPr>
  </w:style>
  <w:style w:type="paragraph" w:customStyle="1" w:styleId="Tiret1">
    <w:name w:val="Tiret 1"/>
    <w:basedOn w:val="Point1"/>
    <w:rsid w:val="005643CD"/>
    <w:pPr>
      <w:numPr>
        <w:ilvl w:val="0"/>
        <w:numId w:val="11"/>
      </w:numPr>
    </w:pPr>
  </w:style>
  <w:style w:type="paragraph" w:customStyle="1" w:styleId="Tiret2">
    <w:name w:val="Tiret 2"/>
    <w:basedOn w:val="Point2"/>
    <w:rsid w:val="005643CD"/>
    <w:pPr>
      <w:numPr>
        <w:ilvl w:val="0"/>
        <w:numId w:val="12"/>
      </w:numPr>
    </w:pPr>
  </w:style>
  <w:style w:type="paragraph" w:customStyle="1" w:styleId="Tiret3">
    <w:name w:val="Tiret 3"/>
    <w:basedOn w:val="Point3"/>
    <w:rsid w:val="005643CD"/>
    <w:pPr>
      <w:numPr>
        <w:ilvl w:val="0"/>
        <w:numId w:val="13"/>
      </w:numPr>
    </w:pPr>
  </w:style>
  <w:style w:type="paragraph" w:customStyle="1" w:styleId="Tiret4">
    <w:name w:val="Tiret 4"/>
    <w:basedOn w:val="Point4"/>
    <w:rsid w:val="005643CD"/>
    <w:pPr>
      <w:numPr>
        <w:ilvl w:val="0"/>
        <w:numId w:val="14"/>
      </w:numPr>
    </w:pPr>
  </w:style>
  <w:style w:type="paragraph" w:customStyle="1" w:styleId="Titrearticle">
    <w:name w:val="Titre article"/>
    <w:basedOn w:val="Normal"/>
    <w:next w:val="Normal"/>
    <w:rsid w:val="005643CD"/>
    <w:pPr>
      <w:keepNext/>
      <w:spacing w:before="360"/>
      <w:jc w:val="center"/>
    </w:pPr>
    <w:rPr>
      <w:i/>
    </w:rPr>
  </w:style>
  <w:style w:type="paragraph" w:customStyle="1" w:styleId="Titreobjet">
    <w:name w:val="Titre objet"/>
    <w:basedOn w:val="Normal"/>
    <w:next w:val="Sous-titreobjet"/>
    <w:rsid w:val="005643CD"/>
    <w:pPr>
      <w:spacing w:before="360" w:after="360"/>
      <w:jc w:val="center"/>
    </w:pPr>
    <w:rPr>
      <w:b/>
    </w:rPr>
  </w:style>
  <w:style w:type="paragraph" w:customStyle="1" w:styleId="TitreobjetPagedecouverture">
    <w:name w:val="Titre objet (Page de couverture)"/>
    <w:basedOn w:val="Titreobjet"/>
    <w:next w:val="Sous-titreobjetPagedecouverture"/>
    <w:rsid w:val="005643CD"/>
  </w:style>
  <w:style w:type="paragraph" w:styleId="TOC1">
    <w:name w:val="toc 1"/>
    <w:basedOn w:val="Normal"/>
    <w:next w:val="Heading2"/>
    <w:link w:val="TOC1Char"/>
    <w:autoRedefine/>
    <w:uiPriority w:val="39"/>
    <w:rsid w:val="00F66B1A"/>
    <w:pPr>
      <w:jc w:val="left"/>
    </w:pPr>
    <w:rPr>
      <w:rFonts w:ascii="Times New Roman Bold" w:hAnsi="Times New Roman Bold"/>
      <w:b/>
      <w:bCs/>
      <w:caps/>
      <w:sz w:val="20"/>
      <w:szCs w:val="20"/>
    </w:rPr>
  </w:style>
  <w:style w:type="paragraph" w:styleId="TOC2">
    <w:name w:val="toc 2"/>
    <w:basedOn w:val="Normal"/>
    <w:next w:val="Normal"/>
    <w:uiPriority w:val="39"/>
    <w:rsid w:val="004A2FC6"/>
    <w:pPr>
      <w:spacing w:before="0" w:after="0"/>
      <w:ind w:left="240"/>
      <w:jc w:val="left"/>
    </w:pPr>
    <w:rPr>
      <w:smallCaps/>
      <w:sz w:val="20"/>
      <w:szCs w:val="20"/>
    </w:rPr>
  </w:style>
  <w:style w:type="paragraph" w:styleId="TOC3">
    <w:name w:val="toc 3"/>
    <w:basedOn w:val="Normal"/>
    <w:next w:val="Normal"/>
    <w:uiPriority w:val="39"/>
    <w:rsid w:val="004A2FC6"/>
    <w:pPr>
      <w:spacing w:before="0" w:after="0"/>
      <w:ind w:left="480"/>
      <w:jc w:val="left"/>
    </w:pPr>
    <w:rPr>
      <w:i/>
      <w:iCs/>
      <w:sz w:val="20"/>
      <w:szCs w:val="20"/>
    </w:rPr>
  </w:style>
  <w:style w:type="paragraph" w:styleId="TOC4">
    <w:name w:val="toc 4"/>
    <w:basedOn w:val="Normal"/>
    <w:next w:val="Normal"/>
    <w:semiHidden/>
    <w:rsid w:val="004A2FC6"/>
    <w:pPr>
      <w:spacing w:before="0" w:after="0"/>
      <w:ind w:left="720"/>
      <w:jc w:val="left"/>
    </w:pPr>
    <w:rPr>
      <w:sz w:val="18"/>
      <w:szCs w:val="18"/>
    </w:rPr>
  </w:style>
  <w:style w:type="paragraph" w:styleId="TOC5">
    <w:name w:val="toc 5"/>
    <w:basedOn w:val="Normal"/>
    <w:next w:val="Normal"/>
    <w:semiHidden/>
    <w:rsid w:val="005643CD"/>
    <w:pPr>
      <w:spacing w:before="0" w:after="0"/>
      <w:ind w:left="960"/>
      <w:jc w:val="left"/>
    </w:pPr>
    <w:rPr>
      <w:rFonts w:ascii="Calibri" w:hAnsi="Calibri"/>
      <w:sz w:val="18"/>
      <w:szCs w:val="18"/>
    </w:rPr>
  </w:style>
  <w:style w:type="paragraph" w:styleId="TOC6">
    <w:name w:val="toc 6"/>
    <w:basedOn w:val="Normal"/>
    <w:next w:val="Normal"/>
    <w:semiHidden/>
    <w:rsid w:val="005643CD"/>
    <w:pPr>
      <w:spacing w:before="0" w:after="0"/>
      <w:ind w:left="1200"/>
      <w:jc w:val="left"/>
    </w:pPr>
    <w:rPr>
      <w:rFonts w:ascii="Calibri" w:hAnsi="Calibri"/>
      <w:sz w:val="18"/>
      <w:szCs w:val="18"/>
    </w:rPr>
  </w:style>
  <w:style w:type="paragraph" w:styleId="TOC7">
    <w:name w:val="toc 7"/>
    <w:basedOn w:val="Normal"/>
    <w:next w:val="Normal"/>
    <w:semiHidden/>
    <w:rsid w:val="005643CD"/>
    <w:pPr>
      <w:spacing w:before="0" w:after="0"/>
      <w:ind w:left="1440"/>
      <w:jc w:val="left"/>
    </w:pPr>
    <w:rPr>
      <w:rFonts w:ascii="Calibri" w:hAnsi="Calibri"/>
      <w:sz w:val="18"/>
      <w:szCs w:val="18"/>
    </w:rPr>
  </w:style>
  <w:style w:type="paragraph" w:styleId="TOC8">
    <w:name w:val="toc 8"/>
    <w:basedOn w:val="Normal"/>
    <w:next w:val="Normal"/>
    <w:semiHidden/>
    <w:rsid w:val="005643CD"/>
    <w:pPr>
      <w:spacing w:before="0" w:after="0"/>
      <w:ind w:left="1680"/>
      <w:jc w:val="left"/>
    </w:pPr>
    <w:rPr>
      <w:rFonts w:ascii="Calibri" w:hAnsi="Calibri"/>
      <w:sz w:val="18"/>
      <w:szCs w:val="18"/>
    </w:rPr>
  </w:style>
  <w:style w:type="paragraph" w:styleId="TOC9">
    <w:name w:val="toc 9"/>
    <w:basedOn w:val="Normal"/>
    <w:next w:val="Normal"/>
    <w:semiHidden/>
    <w:rsid w:val="00CE4BC7"/>
    <w:pPr>
      <w:spacing w:before="0" w:after="0"/>
      <w:ind w:left="1922"/>
      <w:jc w:val="left"/>
    </w:pPr>
    <w:rPr>
      <w:sz w:val="18"/>
      <w:szCs w:val="18"/>
    </w:rPr>
  </w:style>
  <w:style w:type="paragraph" w:styleId="TOCHeading">
    <w:name w:val="TOC Heading"/>
    <w:basedOn w:val="Normal"/>
    <w:next w:val="Normal"/>
    <w:uiPriority w:val="39"/>
    <w:qFormat/>
    <w:rsid w:val="005643CD"/>
    <w:pPr>
      <w:spacing w:after="240"/>
      <w:jc w:val="center"/>
    </w:pPr>
    <w:rPr>
      <w:b/>
      <w:sz w:val="28"/>
    </w:rPr>
  </w:style>
  <w:style w:type="paragraph" w:customStyle="1" w:styleId="Typeacteprincipal">
    <w:name w:val="Type acte principal"/>
    <w:basedOn w:val="Normal"/>
    <w:next w:val="Objetacteprincipal"/>
    <w:rsid w:val="005643CD"/>
    <w:pPr>
      <w:spacing w:before="0" w:after="240"/>
      <w:jc w:val="center"/>
    </w:pPr>
    <w:rPr>
      <w:b/>
    </w:rPr>
  </w:style>
  <w:style w:type="paragraph" w:customStyle="1" w:styleId="TypeacteprincipalPagedecouverture">
    <w:name w:val="Type acte principal (Page de couverture)"/>
    <w:basedOn w:val="Typeacteprincipal"/>
    <w:next w:val="ObjetacteprincipalPagedecouverture"/>
    <w:rsid w:val="005643CD"/>
  </w:style>
  <w:style w:type="paragraph" w:customStyle="1" w:styleId="Typedudocument">
    <w:name w:val="Type du document"/>
    <w:basedOn w:val="Normal"/>
    <w:next w:val="Titreobjet"/>
    <w:rsid w:val="005643CD"/>
    <w:pPr>
      <w:spacing w:before="360" w:after="0"/>
      <w:jc w:val="center"/>
    </w:pPr>
    <w:rPr>
      <w:b/>
    </w:rPr>
  </w:style>
  <w:style w:type="paragraph" w:customStyle="1" w:styleId="TypedudocumentPagedecouverture">
    <w:name w:val="Type du document (Page de couverture)"/>
    <w:basedOn w:val="Typedudocument"/>
    <w:next w:val="TitreobjetPagedecouverture"/>
    <w:rsid w:val="005643CD"/>
  </w:style>
  <w:style w:type="paragraph" w:customStyle="1" w:styleId="Volume">
    <w:name w:val="Volume"/>
    <w:basedOn w:val="Normal"/>
    <w:next w:val="Confidentialit"/>
    <w:rsid w:val="005643CD"/>
    <w:pPr>
      <w:spacing w:before="0" w:after="240"/>
      <w:ind w:left="5103"/>
      <w:jc w:val="left"/>
    </w:pPr>
  </w:style>
  <w:style w:type="character" w:customStyle="1" w:styleId="Heading5Char">
    <w:name w:val="Heading 5 Char"/>
    <w:link w:val="Heading5"/>
    <w:rsid w:val="008C5CFA"/>
    <w:rPr>
      <w:rFonts w:ascii="Arial" w:hAnsi="Arial"/>
      <w:sz w:val="22"/>
      <w:shd w:val="clear" w:color="auto" w:fill="auto"/>
      <w:lang w:val="en-GB"/>
    </w:rPr>
  </w:style>
  <w:style w:type="character" w:customStyle="1" w:styleId="Heading6Char">
    <w:name w:val="Heading 6 Char"/>
    <w:link w:val="Heading6"/>
    <w:rsid w:val="008C5CFA"/>
    <w:rPr>
      <w:rFonts w:ascii="Arial" w:hAnsi="Arial"/>
      <w:i/>
      <w:sz w:val="22"/>
      <w:shd w:val="clear" w:color="auto" w:fill="auto"/>
      <w:lang w:val="en-GB"/>
    </w:rPr>
  </w:style>
  <w:style w:type="character" w:customStyle="1" w:styleId="Heading7Char">
    <w:name w:val="Heading 7 Char"/>
    <w:link w:val="Heading7"/>
    <w:rsid w:val="008C5CFA"/>
    <w:rPr>
      <w:rFonts w:ascii="Arial" w:hAnsi="Arial"/>
      <w:shd w:val="clear" w:color="auto" w:fill="auto"/>
      <w:lang w:val="en-GB"/>
    </w:rPr>
  </w:style>
  <w:style w:type="character" w:customStyle="1" w:styleId="Heading8Char">
    <w:name w:val="Heading 8 Char"/>
    <w:link w:val="Heading8"/>
    <w:rsid w:val="008C5CFA"/>
    <w:rPr>
      <w:rFonts w:ascii="Arial" w:hAnsi="Arial"/>
      <w:i/>
      <w:shd w:val="clear" w:color="auto" w:fill="auto"/>
      <w:lang w:val="en-GB"/>
    </w:rPr>
  </w:style>
  <w:style w:type="character" w:customStyle="1" w:styleId="Heading9Char">
    <w:name w:val="Heading 9 Char"/>
    <w:link w:val="Heading9"/>
    <w:rsid w:val="008C5CFA"/>
    <w:rPr>
      <w:rFonts w:ascii="Arial" w:hAnsi="Arial"/>
      <w:i/>
      <w:sz w:val="18"/>
      <w:shd w:val="clear" w:color="auto" w:fill="auto"/>
      <w:lang w:val="en-GB"/>
    </w:rPr>
  </w:style>
  <w:style w:type="paragraph" w:customStyle="1" w:styleId="AddressTL">
    <w:name w:val="AddressTL"/>
    <w:basedOn w:val="Normal"/>
    <w:next w:val="Normal"/>
    <w:rsid w:val="008C5CFA"/>
    <w:pPr>
      <w:spacing w:before="0" w:after="720"/>
      <w:jc w:val="left"/>
    </w:pPr>
    <w:rPr>
      <w:szCs w:val="20"/>
    </w:rPr>
  </w:style>
  <w:style w:type="paragraph" w:customStyle="1" w:styleId="AddressTR">
    <w:name w:val="AddressTR"/>
    <w:basedOn w:val="Normal"/>
    <w:next w:val="Normal"/>
    <w:rsid w:val="008C5CFA"/>
    <w:pPr>
      <w:spacing w:before="0" w:after="720"/>
      <w:ind w:left="5103"/>
      <w:jc w:val="left"/>
    </w:pPr>
    <w:rPr>
      <w:szCs w:val="20"/>
    </w:rPr>
  </w:style>
  <w:style w:type="paragraph" w:styleId="BlockText">
    <w:name w:val="Block Text"/>
    <w:basedOn w:val="Normal"/>
    <w:rsid w:val="008C5CFA"/>
    <w:pPr>
      <w:spacing w:before="0" w:after="60"/>
      <w:ind w:left="1440" w:right="1440"/>
      <w:jc w:val="left"/>
    </w:pPr>
    <w:rPr>
      <w:szCs w:val="20"/>
    </w:rPr>
  </w:style>
  <w:style w:type="paragraph" w:styleId="BodyText">
    <w:name w:val="Body Text"/>
    <w:basedOn w:val="Normal"/>
    <w:link w:val="BodyTextChar"/>
    <w:rsid w:val="008C5CFA"/>
    <w:pPr>
      <w:spacing w:before="0" w:after="60"/>
      <w:jc w:val="left"/>
    </w:pPr>
    <w:rPr>
      <w:szCs w:val="20"/>
    </w:rPr>
  </w:style>
  <w:style w:type="character" w:customStyle="1" w:styleId="BodyTextChar">
    <w:name w:val="Body Text Char"/>
    <w:link w:val="BodyText"/>
    <w:rsid w:val="008C5CFA"/>
    <w:rPr>
      <w:sz w:val="24"/>
      <w:shd w:val="clear" w:color="auto" w:fill="auto"/>
      <w:lang w:val="en-GB"/>
    </w:rPr>
  </w:style>
  <w:style w:type="paragraph" w:styleId="BodyText2">
    <w:name w:val="Body Text 2"/>
    <w:basedOn w:val="Normal"/>
    <w:link w:val="BodyText2Char"/>
    <w:rsid w:val="008C5CFA"/>
    <w:pPr>
      <w:spacing w:before="0" w:after="60" w:line="480" w:lineRule="auto"/>
      <w:jc w:val="left"/>
    </w:pPr>
    <w:rPr>
      <w:szCs w:val="20"/>
    </w:rPr>
  </w:style>
  <w:style w:type="character" w:customStyle="1" w:styleId="BodyText2Char">
    <w:name w:val="Body Text 2 Char"/>
    <w:link w:val="BodyText2"/>
    <w:rsid w:val="008C5CFA"/>
    <w:rPr>
      <w:sz w:val="24"/>
      <w:shd w:val="clear" w:color="auto" w:fill="auto"/>
      <w:lang w:val="en-GB"/>
    </w:rPr>
  </w:style>
  <w:style w:type="paragraph" w:styleId="BodyText3">
    <w:name w:val="Body Text 3"/>
    <w:basedOn w:val="Normal"/>
    <w:link w:val="BodyText3Char"/>
    <w:rsid w:val="008C5CFA"/>
    <w:pPr>
      <w:spacing w:before="0" w:after="60"/>
      <w:jc w:val="left"/>
    </w:pPr>
    <w:rPr>
      <w:sz w:val="16"/>
      <w:szCs w:val="20"/>
    </w:rPr>
  </w:style>
  <w:style w:type="character" w:customStyle="1" w:styleId="BodyText3Char">
    <w:name w:val="Body Text 3 Char"/>
    <w:link w:val="BodyText3"/>
    <w:rsid w:val="008C5CFA"/>
    <w:rPr>
      <w:sz w:val="16"/>
      <w:shd w:val="clear" w:color="auto" w:fill="auto"/>
      <w:lang w:val="en-GB"/>
    </w:rPr>
  </w:style>
  <w:style w:type="paragraph" w:styleId="BodyTextFirstIndent">
    <w:name w:val="Body Text First Indent"/>
    <w:basedOn w:val="BodyText"/>
    <w:link w:val="BodyTextFirstIndentChar"/>
    <w:rsid w:val="008C5CFA"/>
    <w:pPr>
      <w:ind w:firstLine="210"/>
    </w:pPr>
  </w:style>
  <w:style w:type="character" w:customStyle="1" w:styleId="BodyTextFirstIndentChar">
    <w:name w:val="Body Text First Indent Char"/>
    <w:basedOn w:val="BodyTextChar"/>
    <w:link w:val="BodyTextFirstIndent"/>
    <w:rsid w:val="008C5CFA"/>
  </w:style>
  <w:style w:type="paragraph" w:styleId="BodyTextIndent">
    <w:name w:val="Body Text Indent"/>
    <w:basedOn w:val="Normal"/>
    <w:link w:val="BodyTextIndentChar"/>
    <w:rsid w:val="008C5CFA"/>
    <w:pPr>
      <w:spacing w:before="0" w:after="60"/>
      <w:ind w:left="283"/>
      <w:jc w:val="left"/>
    </w:pPr>
    <w:rPr>
      <w:szCs w:val="20"/>
    </w:rPr>
  </w:style>
  <w:style w:type="character" w:customStyle="1" w:styleId="BodyTextIndentChar">
    <w:name w:val="Body Text Indent Char"/>
    <w:link w:val="BodyTextIndent"/>
    <w:rsid w:val="008C5CFA"/>
    <w:rPr>
      <w:sz w:val="24"/>
      <w:shd w:val="clear" w:color="auto" w:fill="auto"/>
      <w:lang w:val="en-GB"/>
    </w:rPr>
  </w:style>
  <w:style w:type="paragraph" w:styleId="BodyTextFirstIndent2">
    <w:name w:val="Body Text First Indent 2"/>
    <w:basedOn w:val="BodyTextIndent"/>
    <w:link w:val="BodyTextFirstIndent2Char"/>
    <w:rsid w:val="008C5CFA"/>
    <w:pPr>
      <w:ind w:firstLine="210"/>
    </w:pPr>
  </w:style>
  <w:style w:type="character" w:customStyle="1" w:styleId="BodyTextFirstIndent2Char">
    <w:name w:val="Body Text First Indent 2 Char"/>
    <w:basedOn w:val="BodyTextIndentChar"/>
    <w:link w:val="BodyTextFirstIndent2"/>
    <w:rsid w:val="008C5CFA"/>
  </w:style>
  <w:style w:type="paragraph" w:styleId="BodyTextIndent2">
    <w:name w:val="Body Text Indent 2"/>
    <w:basedOn w:val="Normal"/>
    <w:link w:val="BodyTextIndent2Char"/>
    <w:rsid w:val="008C5CFA"/>
    <w:pPr>
      <w:spacing w:before="0" w:after="60" w:line="480" w:lineRule="auto"/>
      <w:ind w:left="283"/>
      <w:jc w:val="left"/>
    </w:pPr>
    <w:rPr>
      <w:szCs w:val="20"/>
    </w:rPr>
  </w:style>
  <w:style w:type="character" w:customStyle="1" w:styleId="BodyTextIndent2Char">
    <w:name w:val="Body Text Indent 2 Char"/>
    <w:link w:val="BodyTextIndent2"/>
    <w:rsid w:val="008C5CFA"/>
    <w:rPr>
      <w:sz w:val="24"/>
      <w:shd w:val="clear" w:color="auto" w:fill="auto"/>
      <w:lang w:val="en-GB"/>
    </w:rPr>
  </w:style>
  <w:style w:type="paragraph" w:styleId="BodyTextIndent3">
    <w:name w:val="Body Text Indent 3"/>
    <w:basedOn w:val="Normal"/>
    <w:link w:val="BodyTextIndent3Char"/>
    <w:rsid w:val="008C5CFA"/>
    <w:pPr>
      <w:spacing w:before="0" w:after="60"/>
      <w:ind w:left="283"/>
      <w:jc w:val="left"/>
    </w:pPr>
    <w:rPr>
      <w:sz w:val="16"/>
      <w:szCs w:val="20"/>
    </w:rPr>
  </w:style>
  <w:style w:type="character" w:customStyle="1" w:styleId="BodyTextIndent3Char">
    <w:name w:val="Body Text Indent 3 Char"/>
    <w:link w:val="BodyTextIndent3"/>
    <w:rsid w:val="008C5CFA"/>
    <w:rPr>
      <w:sz w:val="16"/>
      <w:shd w:val="clear" w:color="auto" w:fill="auto"/>
      <w:lang w:val="en-GB"/>
    </w:rPr>
  </w:style>
  <w:style w:type="paragraph" w:styleId="Caption">
    <w:name w:val="caption"/>
    <w:basedOn w:val="Normal"/>
    <w:next w:val="Normal"/>
    <w:qFormat/>
    <w:rsid w:val="008C5CFA"/>
    <w:pPr>
      <w:spacing w:before="60" w:after="60"/>
      <w:jc w:val="left"/>
    </w:pPr>
    <w:rPr>
      <w:b/>
      <w:szCs w:val="20"/>
    </w:rPr>
  </w:style>
  <w:style w:type="paragraph" w:styleId="Closing">
    <w:name w:val="Closing"/>
    <w:basedOn w:val="Normal"/>
    <w:next w:val="Signature"/>
    <w:link w:val="ClosingChar"/>
    <w:rsid w:val="008C5CFA"/>
    <w:pPr>
      <w:tabs>
        <w:tab w:val="left" w:pos="5103"/>
      </w:tabs>
      <w:spacing w:before="240" w:after="240"/>
      <w:ind w:left="5103"/>
      <w:jc w:val="left"/>
    </w:pPr>
    <w:rPr>
      <w:szCs w:val="20"/>
    </w:rPr>
  </w:style>
  <w:style w:type="character" w:customStyle="1" w:styleId="ClosingChar">
    <w:name w:val="Closing Char"/>
    <w:link w:val="Closing"/>
    <w:rsid w:val="008C5CFA"/>
    <w:rPr>
      <w:sz w:val="24"/>
      <w:shd w:val="clear" w:color="auto" w:fill="auto"/>
      <w:lang w:val="en-GB"/>
    </w:rPr>
  </w:style>
  <w:style w:type="paragraph" w:styleId="Signature">
    <w:name w:val="Signature"/>
    <w:basedOn w:val="Normal"/>
    <w:next w:val="Contact"/>
    <w:link w:val="SignatureChar"/>
    <w:uiPriority w:val="99"/>
    <w:rsid w:val="008C5CFA"/>
    <w:pPr>
      <w:tabs>
        <w:tab w:val="left" w:pos="5103"/>
      </w:tabs>
      <w:spacing w:before="1200" w:after="0"/>
      <w:ind w:left="5103"/>
      <w:jc w:val="center"/>
    </w:pPr>
    <w:rPr>
      <w:szCs w:val="20"/>
    </w:rPr>
  </w:style>
  <w:style w:type="character" w:customStyle="1" w:styleId="SignatureChar">
    <w:name w:val="Signature Char"/>
    <w:link w:val="Signature"/>
    <w:uiPriority w:val="99"/>
    <w:rsid w:val="008C5CFA"/>
    <w:rPr>
      <w:sz w:val="24"/>
      <w:shd w:val="clear" w:color="auto" w:fill="auto"/>
      <w:lang w:val="en-GB"/>
    </w:rPr>
  </w:style>
  <w:style w:type="paragraph" w:customStyle="1" w:styleId="Enclosures">
    <w:name w:val="Enclosures"/>
    <w:basedOn w:val="Normal"/>
    <w:next w:val="Participants"/>
    <w:rsid w:val="008C5CFA"/>
    <w:pPr>
      <w:keepNext/>
      <w:keepLines/>
      <w:tabs>
        <w:tab w:val="left" w:pos="5670"/>
      </w:tabs>
      <w:spacing w:before="480" w:after="0"/>
      <w:ind w:left="1985" w:hanging="1985"/>
      <w:jc w:val="left"/>
    </w:pPr>
    <w:rPr>
      <w:szCs w:val="20"/>
    </w:rPr>
  </w:style>
  <w:style w:type="paragraph" w:customStyle="1" w:styleId="Participants">
    <w:name w:val="Participants"/>
    <w:basedOn w:val="Normal"/>
    <w:next w:val="Copies"/>
    <w:rsid w:val="008C5CFA"/>
    <w:pPr>
      <w:tabs>
        <w:tab w:val="left" w:pos="2552"/>
        <w:tab w:val="left" w:pos="2835"/>
        <w:tab w:val="left" w:pos="5670"/>
        <w:tab w:val="left" w:pos="6379"/>
        <w:tab w:val="left" w:pos="6804"/>
      </w:tabs>
      <w:spacing w:before="480" w:after="0"/>
      <w:ind w:left="1985" w:hanging="1985"/>
      <w:jc w:val="left"/>
    </w:pPr>
    <w:rPr>
      <w:szCs w:val="20"/>
    </w:rPr>
  </w:style>
  <w:style w:type="paragraph" w:customStyle="1" w:styleId="Copies">
    <w:name w:val="Copies"/>
    <w:basedOn w:val="Normal"/>
    <w:next w:val="Normal"/>
    <w:rsid w:val="008C5CFA"/>
    <w:pPr>
      <w:tabs>
        <w:tab w:val="left" w:pos="2552"/>
        <w:tab w:val="left" w:pos="2835"/>
        <w:tab w:val="left" w:pos="5670"/>
        <w:tab w:val="left" w:pos="6379"/>
        <w:tab w:val="left" w:pos="6804"/>
      </w:tabs>
      <w:spacing w:before="480" w:after="0"/>
      <w:ind w:left="1985" w:hanging="1985"/>
      <w:jc w:val="left"/>
    </w:pPr>
    <w:rPr>
      <w:szCs w:val="20"/>
    </w:rPr>
  </w:style>
  <w:style w:type="paragraph" w:styleId="CommentText">
    <w:name w:val="annotation text"/>
    <w:basedOn w:val="Normal"/>
    <w:link w:val="CommentTextChar"/>
    <w:rsid w:val="008C5CFA"/>
    <w:pPr>
      <w:spacing w:before="0" w:after="240"/>
      <w:jc w:val="left"/>
    </w:pPr>
    <w:rPr>
      <w:sz w:val="20"/>
      <w:szCs w:val="20"/>
    </w:rPr>
  </w:style>
  <w:style w:type="character" w:customStyle="1" w:styleId="CommentTextChar">
    <w:name w:val="Comment Text Char"/>
    <w:link w:val="CommentText"/>
    <w:rsid w:val="008C5CFA"/>
    <w:rPr>
      <w:shd w:val="clear" w:color="auto" w:fill="auto"/>
      <w:lang w:val="en-GB"/>
    </w:rPr>
  </w:style>
  <w:style w:type="paragraph" w:styleId="Date">
    <w:name w:val="Date"/>
    <w:basedOn w:val="Normal"/>
    <w:next w:val="References"/>
    <w:link w:val="DateChar"/>
    <w:rsid w:val="008C5CFA"/>
    <w:pPr>
      <w:spacing w:before="0" w:after="0"/>
      <w:ind w:left="5103" w:right="-567"/>
      <w:jc w:val="left"/>
    </w:pPr>
    <w:rPr>
      <w:szCs w:val="20"/>
    </w:rPr>
  </w:style>
  <w:style w:type="character" w:customStyle="1" w:styleId="DateChar">
    <w:name w:val="Date Char"/>
    <w:link w:val="Date"/>
    <w:rsid w:val="008C5CFA"/>
    <w:rPr>
      <w:sz w:val="24"/>
      <w:shd w:val="clear" w:color="auto" w:fill="auto"/>
      <w:lang w:val="en-GB"/>
    </w:rPr>
  </w:style>
  <w:style w:type="paragraph" w:customStyle="1" w:styleId="References">
    <w:name w:val="References"/>
    <w:basedOn w:val="Normal"/>
    <w:next w:val="AddressTR"/>
    <w:rsid w:val="008C5CFA"/>
    <w:pPr>
      <w:spacing w:before="0" w:after="240"/>
      <w:ind w:left="5103"/>
      <w:jc w:val="left"/>
    </w:pPr>
    <w:rPr>
      <w:sz w:val="20"/>
      <w:szCs w:val="20"/>
    </w:rPr>
  </w:style>
  <w:style w:type="paragraph" w:styleId="DocumentMap">
    <w:name w:val="Document Map"/>
    <w:basedOn w:val="Normal"/>
    <w:link w:val="DocumentMapChar"/>
    <w:rsid w:val="008C5CFA"/>
    <w:pPr>
      <w:shd w:val="clear" w:color="auto" w:fill="000080"/>
      <w:spacing w:before="0" w:after="240"/>
      <w:jc w:val="left"/>
    </w:pPr>
    <w:rPr>
      <w:rFonts w:ascii="Tahoma" w:hAnsi="Tahoma"/>
      <w:szCs w:val="20"/>
    </w:rPr>
  </w:style>
  <w:style w:type="character" w:customStyle="1" w:styleId="DocumentMapChar">
    <w:name w:val="Document Map Char"/>
    <w:link w:val="DocumentMap"/>
    <w:rsid w:val="008C5CFA"/>
    <w:rPr>
      <w:rFonts w:ascii="Tahoma" w:hAnsi="Tahoma"/>
      <w:sz w:val="24"/>
      <w:shd w:val="clear" w:color="auto" w:fill="000080"/>
      <w:lang w:val="en-GB"/>
    </w:rPr>
  </w:style>
  <w:style w:type="paragraph" w:customStyle="1" w:styleId="DoubSign">
    <w:name w:val="DoubSign"/>
    <w:basedOn w:val="Normal"/>
    <w:next w:val="Contact"/>
    <w:rsid w:val="008C5CFA"/>
    <w:pPr>
      <w:tabs>
        <w:tab w:val="left" w:pos="5103"/>
      </w:tabs>
      <w:spacing w:before="1200" w:after="0"/>
      <w:jc w:val="left"/>
    </w:pPr>
    <w:rPr>
      <w:szCs w:val="20"/>
    </w:rPr>
  </w:style>
  <w:style w:type="paragraph" w:styleId="EndnoteText">
    <w:name w:val="endnote text"/>
    <w:basedOn w:val="Normal"/>
    <w:link w:val="EndnoteTextChar"/>
    <w:rsid w:val="008C5CFA"/>
    <w:pPr>
      <w:spacing w:before="0" w:after="240"/>
      <w:jc w:val="left"/>
    </w:pPr>
    <w:rPr>
      <w:sz w:val="20"/>
      <w:szCs w:val="20"/>
    </w:rPr>
  </w:style>
  <w:style w:type="character" w:customStyle="1" w:styleId="EndnoteTextChar">
    <w:name w:val="Endnote Text Char"/>
    <w:link w:val="EndnoteText"/>
    <w:rsid w:val="008C5CFA"/>
    <w:rPr>
      <w:shd w:val="clear" w:color="auto" w:fill="auto"/>
      <w:lang w:val="en-GB"/>
    </w:rPr>
  </w:style>
  <w:style w:type="paragraph" w:styleId="EnvelopeAddress">
    <w:name w:val="envelope address"/>
    <w:basedOn w:val="Normal"/>
    <w:rsid w:val="008C5CFA"/>
    <w:pPr>
      <w:framePr w:w="7920" w:h="1980" w:hRule="exact" w:hSpace="180" w:vAnchor="margin" w:hAnchor="page" w:xAlign="center" w:yAlign="bottom"/>
      <w:spacing w:before="0" w:after="0"/>
      <w:jc w:val="left"/>
    </w:pPr>
    <w:rPr>
      <w:szCs w:val="20"/>
    </w:rPr>
  </w:style>
  <w:style w:type="paragraph" w:styleId="EnvelopeReturn">
    <w:name w:val="envelope return"/>
    <w:basedOn w:val="Normal"/>
    <w:rsid w:val="008C5CFA"/>
    <w:pPr>
      <w:spacing w:before="0" w:after="0"/>
      <w:jc w:val="left"/>
    </w:pPr>
    <w:rPr>
      <w:sz w:val="20"/>
      <w:szCs w:val="20"/>
    </w:rPr>
  </w:style>
  <w:style w:type="paragraph" w:styleId="Index1">
    <w:name w:val="index 1"/>
    <w:basedOn w:val="Normal"/>
    <w:next w:val="Normal"/>
    <w:autoRedefine/>
    <w:rsid w:val="008C5CFA"/>
    <w:pPr>
      <w:spacing w:before="0" w:after="240"/>
      <w:ind w:left="240" w:hanging="240"/>
      <w:jc w:val="left"/>
    </w:pPr>
    <w:rPr>
      <w:szCs w:val="20"/>
    </w:rPr>
  </w:style>
  <w:style w:type="paragraph" w:styleId="Index2">
    <w:name w:val="index 2"/>
    <w:basedOn w:val="Normal"/>
    <w:next w:val="Normal"/>
    <w:autoRedefine/>
    <w:rsid w:val="008C5CFA"/>
    <w:pPr>
      <w:spacing w:before="0" w:after="240"/>
      <w:ind w:left="480" w:hanging="240"/>
      <w:jc w:val="left"/>
    </w:pPr>
    <w:rPr>
      <w:szCs w:val="20"/>
    </w:rPr>
  </w:style>
  <w:style w:type="paragraph" w:styleId="Index3">
    <w:name w:val="index 3"/>
    <w:basedOn w:val="Normal"/>
    <w:next w:val="Normal"/>
    <w:autoRedefine/>
    <w:rsid w:val="008C5CFA"/>
    <w:pPr>
      <w:spacing w:before="0" w:after="240"/>
      <w:ind w:left="720" w:hanging="240"/>
      <w:jc w:val="left"/>
    </w:pPr>
    <w:rPr>
      <w:szCs w:val="20"/>
    </w:rPr>
  </w:style>
  <w:style w:type="paragraph" w:styleId="Index4">
    <w:name w:val="index 4"/>
    <w:basedOn w:val="Normal"/>
    <w:next w:val="Normal"/>
    <w:autoRedefine/>
    <w:rsid w:val="008C5CFA"/>
    <w:pPr>
      <w:spacing w:before="0" w:after="240"/>
      <w:ind w:left="960" w:hanging="240"/>
      <w:jc w:val="left"/>
    </w:pPr>
    <w:rPr>
      <w:szCs w:val="20"/>
    </w:rPr>
  </w:style>
  <w:style w:type="paragraph" w:styleId="Index5">
    <w:name w:val="index 5"/>
    <w:basedOn w:val="Normal"/>
    <w:next w:val="Normal"/>
    <w:autoRedefine/>
    <w:rsid w:val="008C5CFA"/>
    <w:pPr>
      <w:spacing w:before="0" w:after="240"/>
      <w:ind w:left="1200" w:hanging="240"/>
      <w:jc w:val="left"/>
    </w:pPr>
    <w:rPr>
      <w:szCs w:val="20"/>
    </w:rPr>
  </w:style>
  <w:style w:type="paragraph" w:styleId="Index6">
    <w:name w:val="index 6"/>
    <w:basedOn w:val="Normal"/>
    <w:next w:val="Normal"/>
    <w:autoRedefine/>
    <w:rsid w:val="008C5CFA"/>
    <w:pPr>
      <w:spacing w:before="0" w:after="240"/>
      <w:ind w:left="1440" w:hanging="240"/>
      <w:jc w:val="left"/>
    </w:pPr>
    <w:rPr>
      <w:szCs w:val="20"/>
    </w:rPr>
  </w:style>
  <w:style w:type="paragraph" w:styleId="Index7">
    <w:name w:val="index 7"/>
    <w:basedOn w:val="Normal"/>
    <w:next w:val="Normal"/>
    <w:autoRedefine/>
    <w:rsid w:val="008C5CFA"/>
    <w:pPr>
      <w:spacing w:before="0" w:after="240"/>
      <w:ind w:left="1680" w:hanging="240"/>
      <w:jc w:val="left"/>
    </w:pPr>
    <w:rPr>
      <w:szCs w:val="20"/>
    </w:rPr>
  </w:style>
  <w:style w:type="paragraph" w:styleId="Index8">
    <w:name w:val="index 8"/>
    <w:basedOn w:val="Normal"/>
    <w:next w:val="Normal"/>
    <w:autoRedefine/>
    <w:rsid w:val="008C5CFA"/>
    <w:pPr>
      <w:spacing w:before="0" w:after="240"/>
      <w:ind w:left="1920" w:hanging="240"/>
      <w:jc w:val="left"/>
    </w:pPr>
    <w:rPr>
      <w:szCs w:val="20"/>
    </w:rPr>
  </w:style>
  <w:style w:type="paragraph" w:styleId="Index9">
    <w:name w:val="index 9"/>
    <w:basedOn w:val="Normal"/>
    <w:next w:val="Normal"/>
    <w:autoRedefine/>
    <w:rsid w:val="008C5CFA"/>
    <w:pPr>
      <w:spacing w:before="0" w:after="240"/>
      <w:ind w:left="2160" w:hanging="240"/>
      <w:jc w:val="left"/>
    </w:pPr>
    <w:rPr>
      <w:szCs w:val="20"/>
    </w:rPr>
  </w:style>
  <w:style w:type="paragraph" w:styleId="IndexHeading">
    <w:name w:val="index heading"/>
    <w:basedOn w:val="Normal"/>
    <w:next w:val="Index1"/>
    <w:rsid w:val="008C5CFA"/>
    <w:pPr>
      <w:spacing w:before="0" w:after="240"/>
      <w:jc w:val="left"/>
    </w:pPr>
    <w:rPr>
      <w:rFonts w:ascii="Arial" w:hAnsi="Arial"/>
      <w:b/>
      <w:szCs w:val="20"/>
    </w:rPr>
  </w:style>
  <w:style w:type="paragraph" w:styleId="List">
    <w:name w:val="List"/>
    <w:basedOn w:val="Normal"/>
    <w:rsid w:val="008C5CFA"/>
    <w:pPr>
      <w:spacing w:before="0" w:after="240"/>
      <w:ind w:left="283" w:hanging="283"/>
      <w:jc w:val="left"/>
    </w:pPr>
    <w:rPr>
      <w:szCs w:val="20"/>
    </w:rPr>
  </w:style>
  <w:style w:type="paragraph" w:styleId="List2">
    <w:name w:val="List 2"/>
    <w:basedOn w:val="Normal"/>
    <w:rsid w:val="008C5CFA"/>
    <w:pPr>
      <w:spacing w:before="0" w:after="240"/>
      <w:ind w:left="566" w:hanging="283"/>
      <w:jc w:val="left"/>
    </w:pPr>
    <w:rPr>
      <w:szCs w:val="20"/>
    </w:rPr>
  </w:style>
  <w:style w:type="paragraph" w:styleId="List3">
    <w:name w:val="List 3"/>
    <w:basedOn w:val="Normal"/>
    <w:rsid w:val="008C5CFA"/>
    <w:pPr>
      <w:spacing w:before="0" w:after="240"/>
      <w:ind w:left="849" w:hanging="283"/>
      <w:jc w:val="left"/>
    </w:pPr>
    <w:rPr>
      <w:szCs w:val="20"/>
    </w:rPr>
  </w:style>
  <w:style w:type="paragraph" w:styleId="List4">
    <w:name w:val="List 4"/>
    <w:basedOn w:val="Normal"/>
    <w:rsid w:val="008C5CFA"/>
    <w:pPr>
      <w:spacing w:before="0" w:after="240"/>
      <w:ind w:left="1132" w:hanging="283"/>
      <w:jc w:val="left"/>
    </w:pPr>
    <w:rPr>
      <w:szCs w:val="20"/>
    </w:rPr>
  </w:style>
  <w:style w:type="paragraph" w:styleId="List5">
    <w:name w:val="List 5"/>
    <w:basedOn w:val="Normal"/>
    <w:rsid w:val="008C5CFA"/>
    <w:pPr>
      <w:spacing w:before="0" w:after="240"/>
      <w:ind w:left="1415" w:hanging="283"/>
      <w:jc w:val="left"/>
    </w:pPr>
    <w:rPr>
      <w:szCs w:val="20"/>
    </w:rPr>
  </w:style>
  <w:style w:type="paragraph" w:styleId="ListBullet">
    <w:name w:val="List Bullet"/>
    <w:basedOn w:val="Normal"/>
    <w:rsid w:val="008C5CFA"/>
    <w:pPr>
      <w:numPr>
        <w:ilvl w:val="0"/>
        <w:numId w:val="32"/>
      </w:numPr>
      <w:tabs>
        <w:tab w:val="clear" w:pos="360"/>
        <w:tab w:val="num" w:pos="567"/>
      </w:tabs>
      <w:spacing w:before="0" w:after="240"/>
      <w:ind w:left="567" w:hanging="283"/>
      <w:jc w:val="left"/>
    </w:pPr>
    <w:rPr>
      <w:szCs w:val="20"/>
    </w:rPr>
  </w:style>
  <w:style w:type="paragraph" w:styleId="ListBullet2">
    <w:name w:val="List Bullet 2"/>
    <w:basedOn w:val="Text2"/>
    <w:rsid w:val="008C5CFA"/>
    <w:pPr>
      <w:numPr>
        <w:ilvl w:val="0"/>
        <w:numId w:val="18"/>
      </w:numPr>
      <w:spacing w:before="0" w:after="240"/>
      <w:jc w:val="left"/>
    </w:pPr>
    <w:rPr>
      <w:szCs w:val="20"/>
    </w:rPr>
  </w:style>
  <w:style w:type="paragraph" w:styleId="ListBullet3">
    <w:name w:val="List Bullet 3"/>
    <w:basedOn w:val="Text3"/>
    <w:rsid w:val="008C5CFA"/>
    <w:pPr>
      <w:numPr>
        <w:ilvl w:val="0"/>
        <w:numId w:val="19"/>
      </w:numPr>
      <w:spacing w:before="0" w:after="240"/>
      <w:jc w:val="left"/>
    </w:pPr>
    <w:rPr>
      <w:szCs w:val="20"/>
    </w:rPr>
  </w:style>
  <w:style w:type="paragraph" w:styleId="ListBullet4">
    <w:name w:val="List Bullet 4"/>
    <w:basedOn w:val="Text4"/>
    <w:rsid w:val="008C5CFA"/>
    <w:pPr>
      <w:numPr>
        <w:ilvl w:val="0"/>
        <w:numId w:val="20"/>
      </w:numPr>
      <w:spacing w:before="0" w:after="240"/>
      <w:jc w:val="left"/>
    </w:pPr>
    <w:rPr>
      <w:szCs w:val="20"/>
    </w:rPr>
  </w:style>
  <w:style w:type="paragraph" w:styleId="ListBullet5">
    <w:name w:val="List Bullet 5"/>
    <w:basedOn w:val="Normal"/>
    <w:autoRedefine/>
    <w:rsid w:val="008C5CFA"/>
    <w:pPr>
      <w:numPr>
        <w:ilvl w:val="0"/>
        <w:numId w:val="16"/>
      </w:numPr>
      <w:spacing w:before="0" w:after="240"/>
      <w:jc w:val="left"/>
    </w:pPr>
    <w:rPr>
      <w:szCs w:val="20"/>
    </w:rPr>
  </w:style>
  <w:style w:type="paragraph" w:styleId="ListContinue">
    <w:name w:val="List Continue"/>
    <w:basedOn w:val="Normal"/>
    <w:rsid w:val="008C5CFA"/>
    <w:pPr>
      <w:spacing w:before="0" w:after="60"/>
      <w:ind w:left="283"/>
      <w:jc w:val="left"/>
    </w:pPr>
    <w:rPr>
      <w:szCs w:val="20"/>
    </w:rPr>
  </w:style>
  <w:style w:type="paragraph" w:styleId="ListContinue2">
    <w:name w:val="List Continue 2"/>
    <w:basedOn w:val="Normal"/>
    <w:rsid w:val="008C5CFA"/>
    <w:pPr>
      <w:spacing w:before="0" w:after="60"/>
      <w:ind w:left="566"/>
      <w:jc w:val="left"/>
    </w:pPr>
    <w:rPr>
      <w:szCs w:val="20"/>
    </w:rPr>
  </w:style>
  <w:style w:type="paragraph" w:styleId="ListContinue3">
    <w:name w:val="List Continue 3"/>
    <w:basedOn w:val="Normal"/>
    <w:rsid w:val="008C5CFA"/>
    <w:pPr>
      <w:spacing w:before="0" w:after="60"/>
      <w:ind w:left="849"/>
      <w:jc w:val="left"/>
    </w:pPr>
    <w:rPr>
      <w:szCs w:val="20"/>
    </w:rPr>
  </w:style>
  <w:style w:type="paragraph" w:styleId="ListContinue4">
    <w:name w:val="List Continue 4"/>
    <w:basedOn w:val="Normal"/>
    <w:rsid w:val="008C5CFA"/>
    <w:pPr>
      <w:spacing w:before="0" w:after="60"/>
      <w:ind w:left="1132"/>
      <w:jc w:val="left"/>
    </w:pPr>
    <w:rPr>
      <w:szCs w:val="20"/>
    </w:rPr>
  </w:style>
  <w:style w:type="paragraph" w:styleId="ListContinue5">
    <w:name w:val="List Continue 5"/>
    <w:basedOn w:val="Normal"/>
    <w:rsid w:val="008C5CFA"/>
    <w:pPr>
      <w:spacing w:before="0" w:after="60"/>
      <w:ind w:left="1415"/>
      <w:jc w:val="left"/>
    </w:pPr>
    <w:rPr>
      <w:szCs w:val="20"/>
    </w:rPr>
  </w:style>
  <w:style w:type="paragraph" w:styleId="ListNumber">
    <w:name w:val="List Number"/>
    <w:basedOn w:val="Normal"/>
    <w:rsid w:val="008C5CFA"/>
    <w:pPr>
      <w:numPr>
        <w:ilvl w:val="0"/>
        <w:numId w:val="26"/>
      </w:numPr>
      <w:spacing w:before="0" w:after="240"/>
      <w:jc w:val="left"/>
    </w:pPr>
    <w:rPr>
      <w:szCs w:val="20"/>
    </w:rPr>
  </w:style>
  <w:style w:type="paragraph" w:styleId="ListNumber2">
    <w:name w:val="List Number 2"/>
    <w:basedOn w:val="Text2"/>
    <w:rsid w:val="008C5CFA"/>
    <w:pPr>
      <w:numPr>
        <w:ilvl w:val="0"/>
        <w:numId w:val="28"/>
      </w:numPr>
      <w:spacing w:before="0" w:after="240"/>
      <w:jc w:val="left"/>
    </w:pPr>
    <w:rPr>
      <w:szCs w:val="20"/>
    </w:rPr>
  </w:style>
  <w:style w:type="paragraph" w:styleId="ListNumber3">
    <w:name w:val="List Number 3"/>
    <w:basedOn w:val="Text3"/>
    <w:rsid w:val="008C5CFA"/>
    <w:pPr>
      <w:numPr>
        <w:ilvl w:val="0"/>
        <w:numId w:val="29"/>
      </w:numPr>
      <w:spacing w:before="0" w:after="240"/>
      <w:jc w:val="left"/>
    </w:pPr>
    <w:rPr>
      <w:szCs w:val="20"/>
    </w:rPr>
  </w:style>
  <w:style w:type="paragraph" w:styleId="ListNumber4">
    <w:name w:val="List Number 4"/>
    <w:basedOn w:val="Text4"/>
    <w:rsid w:val="008C5CFA"/>
    <w:pPr>
      <w:numPr>
        <w:ilvl w:val="0"/>
        <w:numId w:val="30"/>
      </w:numPr>
      <w:spacing w:before="0" w:after="240"/>
      <w:jc w:val="left"/>
    </w:pPr>
    <w:rPr>
      <w:szCs w:val="20"/>
    </w:rPr>
  </w:style>
  <w:style w:type="paragraph" w:styleId="ListNumber5">
    <w:name w:val="List Number 5"/>
    <w:basedOn w:val="Normal"/>
    <w:rsid w:val="008C5CFA"/>
    <w:pPr>
      <w:numPr>
        <w:ilvl w:val="0"/>
        <w:numId w:val="17"/>
      </w:numPr>
      <w:spacing w:before="0" w:after="240"/>
      <w:jc w:val="left"/>
    </w:pPr>
    <w:rPr>
      <w:szCs w:val="20"/>
    </w:rPr>
  </w:style>
  <w:style w:type="paragraph" w:styleId="Macro">
    <w:name w:val="macro"/>
    <w:link w:val="MacroTextChar"/>
    <w:rsid w:val="008C5CFA"/>
    <w:pPr>
      <w:tabs>
        <w:tab w:val="left" w:pos="480"/>
        <w:tab w:val="left" w:pos="960"/>
        <w:tab w:val="left" w:pos="1440"/>
        <w:tab w:val="left" w:pos="1920"/>
        <w:tab w:val="left" w:pos="2400"/>
        <w:tab w:val="left" w:pos="2880"/>
        <w:tab w:val="left" w:pos="3360"/>
        <w:tab w:val="left" w:pos="3840"/>
        <w:tab w:val="left" w:pos="4320"/>
      </w:tabs>
      <w:spacing w:before="60" w:after="240"/>
      <w:jc w:val="both"/>
    </w:pPr>
    <w:rPr>
      <w:rFonts w:ascii="Courier New" w:hAnsi="Courier New"/>
      <w:lang w:val="en-GB" w:eastAsia="en-US" w:bidi="ar-SA"/>
    </w:rPr>
  </w:style>
  <w:style w:type="character" w:customStyle="1" w:styleId="MacroTextChar">
    <w:name w:val="Macro Text Char"/>
    <w:link w:val="Macro"/>
    <w:rsid w:val="008C5CFA"/>
    <w:rPr>
      <w:rFonts w:ascii="Courier New" w:hAnsi="Courier New"/>
      <w:shd w:val="clear" w:color="auto" w:fill="auto"/>
      <w:lang w:val="en-GB"/>
    </w:rPr>
  </w:style>
  <w:style w:type="paragraph" w:styleId="MessageHeader">
    <w:name w:val="Message Header"/>
    <w:basedOn w:val="Normal"/>
    <w:link w:val="MessageHeaderChar"/>
    <w:rsid w:val="008C5CFA"/>
    <w:pPr>
      <w:pBdr>
        <w:top w:val="single" w:sz="6" w:space="1" w:color="auto"/>
        <w:left w:val="single" w:sz="6" w:space="1" w:color="auto"/>
        <w:bottom w:val="single" w:sz="6" w:space="1" w:color="auto"/>
        <w:right w:val="single" w:sz="6" w:space="1" w:color="auto"/>
      </w:pBdr>
      <w:shd w:val="pct20" w:color="auto" w:fill="auto"/>
      <w:spacing w:before="0" w:after="240"/>
      <w:ind w:left="1134" w:hanging="1134"/>
      <w:jc w:val="left"/>
    </w:pPr>
    <w:rPr>
      <w:rFonts w:ascii="Arial" w:hAnsi="Arial"/>
      <w:szCs w:val="20"/>
    </w:rPr>
  </w:style>
  <w:style w:type="character" w:customStyle="1" w:styleId="MessageHeaderChar">
    <w:name w:val="Message Header Char"/>
    <w:link w:val="MessageHeader"/>
    <w:rsid w:val="008C5CFA"/>
    <w:rPr>
      <w:rFonts w:ascii="Arial" w:hAnsi="Arial"/>
      <w:sz w:val="24"/>
      <w:shd w:val="pct20" w:color="auto" w:fill="auto"/>
      <w:lang w:val="en-GB"/>
    </w:rPr>
  </w:style>
  <w:style w:type="paragraph" w:styleId="NormalIndent">
    <w:name w:val="Normal Indent"/>
    <w:basedOn w:val="Normal"/>
    <w:rsid w:val="008C5CFA"/>
    <w:pPr>
      <w:spacing w:before="0" w:after="240"/>
      <w:ind w:left="720"/>
      <w:jc w:val="left"/>
    </w:pPr>
    <w:rPr>
      <w:szCs w:val="20"/>
    </w:rPr>
  </w:style>
  <w:style w:type="paragraph" w:styleId="NoteHeading">
    <w:name w:val="Note Heading"/>
    <w:basedOn w:val="Normal"/>
    <w:next w:val="Normal"/>
    <w:link w:val="NoteHeadingChar"/>
    <w:rsid w:val="008C5CFA"/>
    <w:pPr>
      <w:spacing w:before="0" w:after="240"/>
      <w:jc w:val="left"/>
    </w:pPr>
    <w:rPr>
      <w:szCs w:val="20"/>
    </w:rPr>
  </w:style>
  <w:style w:type="character" w:customStyle="1" w:styleId="NoteHeadingChar">
    <w:name w:val="Note Heading Char"/>
    <w:link w:val="NoteHeading"/>
    <w:rsid w:val="008C5CFA"/>
    <w:rPr>
      <w:sz w:val="24"/>
      <w:shd w:val="clear" w:color="auto" w:fill="auto"/>
      <w:lang w:val="en-GB"/>
    </w:rPr>
  </w:style>
  <w:style w:type="paragraph" w:customStyle="1" w:styleId="NoteHead">
    <w:name w:val="NoteHead"/>
    <w:basedOn w:val="Normal"/>
    <w:next w:val="Subject"/>
    <w:rsid w:val="008C5CFA"/>
    <w:pPr>
      <w:spacing w:before="720" w:after="720"/>
      <w:jc w:val="center"/>
    </w:pPr>
    <w:rPr>
      <w:b/>
      <w:smallCaps/>
      <w:szCs w:val="20"/>
    </w:rPr>
  </w:style>
  <w:style w:type="paragraph" w:customStyle="1" w:styleId="Subject">
    <w:name w:val="Subject"/>
    <w:basedOn w:val="Normal"/>
    <w:next w:val="Normal"/>
    <w:rsid w:val="008C5CFA"/>
    <w:pPr>
      <w:spacing w:before="0" w:after="480"/>
      <w:ind w:left="1531" w:hanging="1531"/>
      <w:jc w:val="left"/>
    </w:pPr>
    <w:rPr>
      <w:b/>
      <w:szCs w:val="20"/>
    </w:rPr>
  </w:style>
  <w:style w:type="paragraph" w:customStyle="1" w:styleId="NoteList">
    <w:name w:val="NoteList"/>
    <w:basedOn w:val="Normal"/>
    <w:next w:val="Subject"/>
    <w:rsid w:val="008C5CFA"/>
    <w:pPr>
      <w:tabs>
        <w:tab w:val="left" w:pos="5823"/>
      </w:tabs>
      <w:spacing w:before="720" w:after="720"/>
      <w:ind w:left="5104" w:hanging="3119"/>
      <w:jc w:val="left"/>
    </w:pPr>
    <w:rPr>
      <w:b/>
      <w:smallCaps/>
      <w:szCs w:val="20"/>
    </w:rPr>
  </w:style>
  <w:style w:type="paragraph" w:styleId="PlainText">
    <w:name w:val="Plain Text"/>
    <w:basedOn w:val="Normal"/>
    <w:link w:val="PlainTextChar"/>
    <w:rsid w:val="008C5CFA"/>
    <w:pPr>
      <w:spacing w:before="0" w:after="240"/>
      <w:jc w:val="left"/>
    </w:pPr>
    <w:rPr>
      <w:rFonts w:ascii="Courier New" w:hAnsi="Courier New"/>
      <w:sz w:val="20"/>
      <w:szCs w:val="20"/>
    </w:rPr>
  </w:style>
  <w:style w:type="character" w:customStyle="1" w:styleId="PlainTextChar">
    <w:name w:val="Plain Text Char"/>
    <w:link w:val="PlainText"/>
    <w:rsid w:val="008C5CFA"/>
    <w:rPr>
      <w:rFonts w:ascii="Courier New" w:hAnsi="Courier New"/>
      <w:shd w:val="clear" w:color="auto" w:fill="auto"/>
      <w:lang w:val="en-GB"/>
    </w:rPr>
  </w:style>
  <w:style w:type="paragraph" w:styleId="Salutation">
    <w:name w:val="Salutation"/>
    <w:basedOn w:val="Normal"/>
    <w:next w:val="Normal"/>
    <w:link w:val="SalutationChar"/>
    <w:rsid w:val="008C5CFA"/>
    <w:pPr>
      <w:spacing w:before="0" w:after="240"/>
      <w:jc w:val="left"/>
    </w:pPr>
    <w:rPr>
      <w:szCs w:val="20"/>
    </w:rPr>
  </w:style>
  <w:style w:type="character" w:customStyle="1" w:styleId="SalutationChar">
    <w:name w:val="Salutation Char"/>
    <w:link w:val="Salutation"/>
    <w:rsid w:val="008C5CFA"/>
    <w:rPr>
      <w:sz w:val="24"/>
      <w:shd w:val="clear" w:color="auto" w:fill="auto"/>
      <w:lang w:val="en-GB"/>
    </w:rPr>
  </w:style>
  <w:style w:type="paragraph" w:styleId="Subtitle">
    <w:name w:val="Subtitle"/>
    <w:basedOn w:val="Normal"/>
    <w:link w:val="SubtitleChar"/>
    <w:qFormat/>
    <w:rsid w:val="008C5CFA"/>
    <w:pPr>
      <w:spacing w:before="0" w:after="60"/>
      <w:jc w:val="center"/>
      <w:outlineLvl w:val="1"/>
    </w:pPr>
    <w:rPr>
      <w:rFonts w:ascii="Arial" w:hAnsi="Arial"/>
      <w:szCs w:val="20"/>
    </w:rPr>
  </w:style>
  <w:style w:type="character" w:customStyle="1" w:styleId="SubtitleChar">
    <w:name w:val="Subtitle Char"/>
    <w:link w:val="Subtitle"/>
    <w:rsid w:val="008C5CFA"/>
    <w:rPr>
      <w:rFonts w:ascii="Arial" w:hAnsi="Arial"/>
      <w:sz w:val="24"/>
      <w:shd w:val="clear" w:color="auto" w:fill="auto"/>
      <w:lang w:val="en-GB"/>
    </w:rPr>
  </w:style>
  <w:style w:type="paragraph" w:styleId="TableofAuthorities">
    <w:name w:val="table of authorities"/>
    <w:basedOn w:val="Normal"/>
    <w:next w:val="Normal"/>
    <w:rsid w:val="008C5CFA"/>
    <w:pPr>
      <w:spacing w:before="0" w:after="240"/>
      <w:ind w:left="240" w:hanging="240"/>
      <w:jc w:val="left"/>
    </w:pPr>
    <w:rPr>
      <w:szCs w:val="20"/>
    </w:rPr>
  </w:style>
  <w:style w:type="paragraph" w:styleId="TableofFigures">
    <w:name w:val="table of figures"/>
    <w:basedOn w:val="Normal"/>
    <w:next w:val="Normal"/>
    <w:rsid w:val="008C5CFA"/>
    <w:pPr>
      <w:spacing w:before="0" w:after="240"/>
      <w:ind w:left="480" w:hanging="480"/>
      <w:jc w:val="left"/>
    </w:pPr>
    <w:rPr>
      <w:szCs w:val="20"/>
    </w:rPr>
  </w:style>
  <w:style w:type="paragraph" w:styleId="Title">
    <w:name w:val="Title"/>
    <w:basedOn w:val="Normal"/>
    <w:link w:val="TitleChar"/>
    <w:qFormat/>
    <w:rsid w:val="008C5CFA"/>
    <w:pPr>
      <w:spacing w:before="240" w:after="60"/>
      <w:jc w:val="center"/>
      <w:outlineLvl w:val="0"/>
    </w:pPr>
    <w:rPr>
      <w:rFonts w:ascii="Arial" w:hAnsi="Arial"/>
      <w:b/>
      <w:kern w:val="28"/>
      <w:sz w:val="32"/>
      <w:szCs w:val="20"/>
    </w:rPr>
  </w:style>
  <w:style w:type="character" w:customStyle="1" w:styleId="TitleChar">
    <w:name w:val="Title Char"/>
    <w:link w:val="Title"/>
    <w:rsid w:val="008C5CFA"/>
    <w:rPr>
      <w:rFonts w:ascii="Arial" w:hAnsi="Arial"/>
      <w:b/>
      <w:kern w:val="28"/>
      <w:sz w:val="32"/>
      <w:shd w:val="clear" w:color="auto" w:fill="auto"/>
      <w:lang w:val="en-GB"/>
    </w:rPr>
  </w:style>
  <w:style w:type="paragraph" w:styleId="TOAHeading">
    <w:name w:val="toa heading"/>
    <w:basedOn w:val="Normal"/>
    <w:next w:val="Normal"/>
    <w:rsid w:val="008C5CFA"/>
    <w:pPr>
      <w:spacing w:before="60" w:after="240"/>
      <w:jc w:val="left"/>
    </w:pPr>
    <w:rPr>
      <w:rFonts w:ascii="Arial" w:hAnsi="Arial"/>
      <w:b/>
      <w:szCs w:val="20"/>
    </w:rPr>
  </w:style>
  <w:style w:type="paragraph" w:customStyle="1" w:styleId="YReferences">
    <w:name w:val="YReferences"/>
    <w:basedOn w:val="Normal"/>
    <w:next w:val="Normal"/>
    <w:rsid w:val="008C5CFA"/>
    <w:pPr>
      <w:spacing w:before="0" w:after="480"/>
      <w:ind w:left="1531" w:hanging="1531"/>
      <w:jc w:val="left"/>
    </w:pPr>
    <w:rPr>
      <w:szCs w:val="20"/>
    </w:rPr>
  </w:style>
  <w:style w:type="paragraph" w:customStyle="1" w:styleId="ListBullet1">
    <w:name w:val="List Bullet 1"/>
    <w:basedOn w:val="Text1"/>
    <w:rsid w:val="008C5CFA"/>
    <w:pPr>
      <w:tabs>
        <w:tab w:val="num" w:pos="765"/>
      </w:tabs>
      <w:spacing w:before="0" w:after="240"/>
      <w:ind w:left="765" w:hanging="283"/>
      <w:jc w:val="left"/>
    </w:pPr>
    <w:rPr>
      <w:szCs w:val="20"/>
    </w:rPr>
  </w:style>
  <w:style w:type="paragraph" w:customStyle="1" w:styleId="ListDash">
    <w:name w:val="List Dash"/>
    <w:basedOn w:val="Normal"/>
    <w:rsid w:val="008C5CFA"/>
    <w:pPr>
      <w:numPr>
        <w:ilvl w:val="0"/>
        <w:numId w:val="21"/>
      </w:numPr>
      <w:spacing w:before="0" w:after="240"/>
      <w:jc w:val="left"/>
    </w:pPr>
    <w:rPr>
      <w:szCs w:val="20"/>
    </w:rPr>
  </w:style>
  <w:style w:type="paragraph" w:customStyle="1" w:styleId="ListDash1">
    <w:name w:val="List Dash 1"/>
    <w:basedOn w:val="Text1"/>
    <w:rsid w:val="008C5CFA"/>
    <w:pPr>
      <w:numPr>
        <w:ilvl w:val="0"/>
        <w:numId w:val="22"/>
      </w:numPr>
      <w:spacing w:before="0" w:after="240"/>
      <w:jc w:val="left"/>
    </w:pPr>
    <w:rPr>
      <w:szCs w:val="20"/>
    </w:rPr>
  </w:style>
  <w:style w:type="paragraph" w:customStyle="1" w:styleId="ListDash2">
    <w:name w:val="List Dash 2"/>
    <w:basedOn w:val="Text2"/>
    <w:rsid w:val="008C5CFA"/>
    <w:pPr>
      <w:numPr>
        <w:ilvl w:val="0"/>
        <w:numId w:val="23"/>
      </w:numPr>
      <w:spacing w:before="0" w:after="240"/>
      <w:jc w:val="left"/>
    </w:pPr>
    <w:rPr>
      <w:szCs w:val="20"/>
    </w:rPr>
  </w:style>
  <w:style w:type="paragraph" w:customStyle="1" w:styleId="ListDash3">
    <w:name w:val="List Dash 3"/>
    <w:basedOn w:val="Text3"/>
    <w:rsid w:val="008C5CFA"/>
    <w:pPr>
      <w:numPr>
        <w:ilvl w:val="0"/>
        <w:numId w:val="24"/>
      </w:numPr>
      <w:spacing w:before="0" w:after="240"/>
      <w:jc w:val="left"/>
    </w:pPr>
    <w:rPr>
      <w:szCs w:val="20"/>
    </w:rPr>
  </w:style>
  <w:style w:type="paragraph" w:customStyle="1" w:styleId="ListDash4">
    <w:name w:val="List Dash 4"/>
    <w:basedOn w:val="Text4"/>
    <w:rsid w:val="008C5CFA"/>
    <w:pPr>
      <w:numPr>
        <w:ilvl w:val="0"/>
        <w:numId w:val="25"/>
      </w:numPr>
      <w:spacing w:before="0" w:after="240"/>
      <w:jc w:val="left"/>
    </w:pPr>
    <w:rPr>
      <w:szCs w:val="20"/>
    </w:rPr>
  </w:style>
  <w:style w:type="paragraph" w:customStyle="1" w:styleId="ListNumberLevel2">
    <w:name w:val="List Number (Level 2)"/>
    <w:basedOn w:val="Normal"/>
    <w:rsid w:val="008C5CFA"/>
    <w:pPr>
      <w:numPr>
        <w:ilvl w:val="1"/>
        <w:numId w:val="26"/>
      </w:numPr>
      <w:spacing w:before="0" w:after="240"/>
      <w:jc w:val="left"/>
    </w:pPr>
    <w:rPr>
      <w:szCs w:val="20"/>
    </w:rPr>
  </w:style>
  <w:style w:type="paragraph" w:customStyle="1" w:styleId="ListNumberLevel3">
    <w:name w:val="List Number (Level 3)"/>
    <w:basedOn w:val="Normal"/>
    <w:rsid w:val="008C5CFA"/>
    <w:pPr>
      <w:numPr>
        <w:ilvl w:val="2"/>
        <w:numId w:val="26"/>
      </w:numPr>
      <w:spacing w:before="0" w:after="240"/>
      <w:jc w:val="left"/>
    </w:pPr>
    <w:rPr>
      <w:szCs w:val="20"/>
    </w:rPr>
  </w:style>
  <w:style w:type="paragraph" w:customStyle="1" w:styleId="ListNumberLevel4">
    <w:name w:val="List Number (Level 4)"/>
    <w:basedOn w:val="Normal"/>
    <w:rsid w:val="008C5CFA"/>
    <w:pPr>
      <w:numPr>
        <w:ilvl w:val="3"/>
        <w:numId w:val="26"/>
      </w:numPr>
      <w:spacing w:before="0" w:after="240"/>
      <w:jc w:val="left"/>
    </w:pPr>
    <w:rPr>
      <w:szCs w:val="20"/>
    </w:rPr>
  </w:style>
  <w:style w:type="paragraph" w:customStyle="1" w:styleId="ListNumber1">
    <w:name w:val="List Number 1"/>
    <w:basedOn w:val="Text1"/>
    <w:rsid w:val="008C5CFA"/>
    <w:pPr>
      <w:numPr>
        <w:ilvl w:val="0"/>
        <w:numId w:val="27"/>
      </w:numPr>
      <w:spacing w:before="0" w:after="240"/>
      <w:jc w:val="left"/>
    </w:pPr>
    <w:rPr>
      <w:szCs w:val="20"/>
    </w:rPr>
  </w:style>
  <w:style w:type="paragraph" w:customStyle="1" w:styleId="ListNumber1Level2">
    <w:name w:val="List Number 1 (Level 2)"/>
    <w:basedOn w:val="Text1"/>
    <w:rsid w:val="008C5CFA"/>
    <w:pPr>
      <w:numPr>
        <w:ilvl w:val="1"/>
        <w:numId w:val="27"/>
      </w:numPr>
      <w:spacing w:before="0" w:after="240"/>
      <w:jc w:val="left"/>
    </w:pPr>
    <w:rPr>
      <w:szCs w:val="20"/>
    </w:rPr>
  </w:style>
  <w:style w:type="paragraph" w:customStyle="1" w:styleId="ListNumber1Level3">
    <w:name w:val="List Number 1 (Level 3)"/>
    <w:basedOn w:val="Text1"/>
    <w:rsid w:val="008C5CFA"/>
    <w:pPr>
      <w:numPr>
        <w:ilvl w:val="2"/>
        <w:numId w:val="27"/>
      </w:numPr>
      <w:spacing w:before="0" w:after="240"/>
      <w:jc w:val="left"/>
    </w:pPr>
    <w:rPr>
      <w:szCs w:val="20"/>
    </w:rPr>
  </w:style>
  <w:style w:type="paragraph" w:customStyle="1" w:styleId="ListNumber1Level4">
    <w:name w:val="List Number 1 (Level 4)"/>
    <w:basedOn w:val="Text1"/>
    <w:rsid w:val="008C5CFA"/>
    <w:pPr>
      <w:numPr>
        <w:ilvl w:val="3"/>
        <w:numId w:val="27"/>
      </w:numPr>
      <w:spacing w:before="0" w:after="240"/>
      <w:jc w:val="left"/>
    </w:pPr>
    <w:rPr>
      <w:szCs w:val="20"/>
    </w:rPr>
  </w:style>
  <w:style w:type="paragraph" w:customStyle="1" w:styleId="ListNumber2Level2">
    <w:name w:val="List Number 2 (Level 2)"/>
    <w:basedOn w:val="Text2"/>
    <w:rsid w:val="008C5CFA"/>
    <w:pPr>
      <w:numPr>
        <w:ilvl w:val="1"/>
        <w:numId w:val="28"/>
      </w:numPr>
      <w:spacing w:before="0" w:after="240"/>
      <w:jc w:val="left"/>
    </w:pPr>
    <w:rPr>
      <w:szCs w:val="20"/>
    </w:rPr>
  </w:style>
  <w:style w:type="paragraph" w:customStyle="1" w:styleId="ListNumber2Level3">
    <w:name w:val="List Number 2 (Level 3)"/>
    <w:basedOn w:val="Text2"/>
    <w:rsid w:val="008C5CFA"/>
    <w:pPr>
      <w:numPr>
        <w:ilvl w:val="2"/>
        <w:numId w:val="28"/>
      </w:numPr>
      <w:spacing w:before="0" w:after="240"/>
      <w:jc w:val="left"/>
    </w:pPr>
    <w:rPr>
      <w:szCs w:val="20"/>
    </w:rPr>
  </w:style>
  <w:style w:type="paragraph" w:customStyle="1" w:styleId="ListNumber2Level4">
    <w:name w:val="List Number 2 (Level 4)"/>
    <w:basedOn w:val="Text2"/>
    <w:rsid w:val="008C5CFA"/>
    <w:pPr>
      <w:numPr>
        <w:ilvl w:val="3"/>
        <w:numId w:val="28"/>
      </w:numPr>
      <w:spacing w:before="0" w:after="240"/>
      <w:ind w:left="3901" w:hanging="703"/>
      <w:jc w:val="left"/>
    </w:pPr>
    <w:rPr>
      <w:szCs w:val="20"/>
    </w:rPr>
  </w:style>
  <w:style w:type="paragraph" w:customStyle="1" w:styleId="ListNumber3Level2">
    <w:name w:val="List Number 3 (Level 2)"/>
    <w:basedOn w:val="Text3"/>
    <w:rsid w:val="008C5CFA"/>
    <w:pPr>
      <w:numPr>
        <w:ilvl w:val="1"/>
        <w:numId w:val="29"/>
      </w:numPr>
      <w:spacing w:before="0" w:after="240"/>
      <w:jc w:val="left"/>
    </w:pPr>
    <w:rPr>
      <w:szCs w:val="20"/>
    </w:rPr>
  </w:style>
  <w:style w:type="paragraph" w:customStyle="1" w:styleId="ListNumber3Level3">
    <w:name w:val="List Number 3 (Level 3)"/>
    <w:basedOn w:val="Text3"/>
    <w:rsid w:val="008C5CFA"/>
    <w:pPr>
      <w:numPr>
        <w:ilvl w:val="2"/>
        <w:numId w:val="29"/>
      </w:numPr>
      <w:spacing w:before="0" w:after="240"/>
      <w:jc w:val="left"/>
    </w:pPr>
    <w:rPr>
      <w:szCs w:val="20"/>
    </w:rPr>
  </w:style>
  <w:style w:type="paragraph" w:customStyle="1" w:styleId="ListNumber3Level4">
    <w:name w:val="List Number 3 (Level 4)"/>
    <w:basedOn w:val="Text3"/>
    <w:rsid w:val="008C5CFA"/>
    <w:pPr>
      <w:numPr>
        <w:ilvl w:val="3"/>
        <w:numId w:val="29"/>
      </w:numPr>
      <w:spacing w:before="0" w:after="240"/>
      <w:jc w:val="left"/>
    </w:pPr>
    <w:rPr>
      <w:szCs w:val="20"/>
    </w:rPr>
  </w:style>
  <w:style w:type="paragraph" w:customStyle="1" w:styleId="ListNumber4Level2">
    <w:name w:val="List Number 4 (Level 2)"/>
    <w:basedOn w:val="Text4"/>
    <w:rsid w:val="008C5CFA"/>
    <w:pPr>
      <w:numPr>
        <w:ilvl w:val="1"/>
        <w:numId w:val="30"/>
      </w:numPr>
      <w:spacing w:before="0" w:after="240"/>
      <w:jc w:val="left"/>
    </w:pPr>
    <w:rPr>
      <w:szCs w:val="20"/>
    </w:rPr>
  </w:style>
  <w:style w:type="paragraph" w:customStyle="1" w:styleId="ListNumber4Level3">
    <w:name w:val="List Number 4 (Level 3)"/>
    <w:basedOn w:val="Text4"/>
    <w:rsid w:val="008C5CFA"/>
    <w:pPr>
      <w:numPr>
        <w:ilvl w:val="2"/>
        <w:numId w:val="30"/>
      </w:numPr>
      <w:spacing w:before="0" w:after="240"/>
      <w:jc w:val="left"/>
    </w:pPr>
    <w:rPr>
      <w:szCs w:val="20"/>
    </w:rPr>
  </w:style>
  <w:style w:type="paragraph" w:customStyle="1" w:styleId="ListNumber4Level4">
    <w:name w:val="List Number 4 (Level 4)"/>
    <w:basedOn w:val="Text4"/>
    <w:rsid w:val="008C5CFA"/>
    <w:pPr>
      <w:numPr>
        <w:ilvl w:val="3"/>
        <w:numId w:val="30"/>
      </w:numPr>
      <w:spacing w:before="0" w:after="240"/>
      <w:jc w:val="left"/>
    </w:pPr>
    <w:rPr>
      <w:szCs w:val="20"/>
    </w:rPr>
  </w:style>
  <w:style w:type="paragraph" w:customStyle="1" w:styleId="Contact">
    <w:name w:val="Contact"/>
    <w:basedOn w:val="Normal"/>
    <w:next w:val="Enclosures"/>
    <w:rsid w:val="008C5CFA"/>
    <w:pPr>
      <w:spacing w:before="480" w:after="0"/>
      <w:ind w:left="567" w:hanging="567"/>
      <w:jc w:val="left"/>
    </w:pPr>
    <w:rPr>
      <w:szCs w:val="20"/>
    </w:rPr>
  </w:style>
  <w:style w:type="paragraph" w:customStyle="1" w:styleId="DisclaimerNotice">
    <w:name w:val="Disclaimer Notice"/>
    <w:basedOn w:val="Normal"/>
    <w:next w:val="AddressTR"/>
    <w:rsid w:val="008C5CFA"/>
    <w:pPr>
      <w:spacing w:before="0" w:after="240"/>
      <w:ind w:left="5103"/>
      <w:jc w:val="left"/>
    </w:pPr>
    <w:rPr>
      <w:i/>
      <w:sz w:val="20"/>
      <w:szCs w:val="20"/>
    </w:rPr>
  </w:style>
  <w:style w:type="paragraph" w:customStyle="1" w:styleId="Disclaimer">
    <w:name w:val="Disclaimer"/>
    <w:basedOn w:val="Normal"/>
    <w:rsid w:val="008C5CFA"/>
    <w:pPr>
      <w:keepLines/>
      <w:pBdr>
        <w:top w:val="single" w:sz="4" w:space="1" w:color="auto"/>
      </w:pBdr>
      <w:spacing w:before="480" w:after="0"/>
      <w:jc w:val="left"/>
    </w:pPr>
    <w:rPr>
      <w:i/>
      <w:szCs w:val="20"/>
    </w:rPr>
  </w:style>
  <w:style w:type="character" w:styleId="FollowedHyperlink">
    <w:name w:val="FollowedHyperlink"/>
    <w:rsid w:val="008C5CFA"/>
    <w:rPr>
      <w:color w:val="800080"/>
      <w:u w:val="single"/>
    </w:rPr>
  </w:style>
  <w:style w:type="paragraph" w:customStyle="1" w:styleId="DisclaimerSJ">
    <w:name w:val="Disclaimer_SJ"/>
    <w:basedOn w:val="Normal"/>
    <w:next w:val="Normal"/>
    <w:rsid w:val="008C5CFA"/>
    <w:pPr>
      <w:spacing w:before="0" w:after="0"/>
      <w:jc w:val="left"/>
    </w:pPr>
    <w:rPr>
      <w:rFonts w:ascii="Arial" w:hAnsi="Arial"/>
      <w:b/>
      <w:sz w:val="16"/>
      <w:szCs w:val="20"/>
    </w:rPr>
  </w:style>
  <w:style w:type="paragraph" w:styleId="NormalWeb">
    <w:name w:val="Normal (Web)"/>
    <w:basedOn w:val="Normal"/>
    <w:rsid w:val="008C5CFA"/>
    <w:pPr>
      <w:suppressAutoHyphens/>
      <w:spacing w:before="100" w:after="100"/>
      <w:jc w:val="left"/>
    </w:pPr>
    <w:rPr>
      <w:lang w:eastAsia="ar-SA"/>
    </w:rPr>
  </w:style>
  <w:style w:type="character" w:customStyle="1" w:styleId="Heading1Char">
    <w:name w:val="Heading 1 Char"/>
    <w:link w:val="Heading1"/>
    <w:rsid w:val="008C5CFA"/>
    <w:rPr>
      <w:b/>
      <w:bCs/>
      <w:smallCaps/>
      <w:sz w:val="24"/>
      <w:szCs w:val="32"/>
      <w:lang w:val="en-GB"/>
    </w:rPr>
  </w:style>
  <w:style w:type="character" w:customStyle="1" w:styleId="Text1Char">
    <w:name w:val="Text 1 Char"/>
    <w:link w:val="Text1"/>
    <w:locked/>
    <w:rsid w:val="008C5CFA"/>
    <w:rPr>
      <w:sz w:val="24"/>
      <w:szCs w:val="24"/>
      <w:lang w:val="en-GB"/>
    </w:rPr>
  </w:style>
  <w:style w:type="table" w:styleId="TableGrid">
    <w:name w:val="Table Grid"/>
    <w:basedOn w:val="TableNormal"/>
    <w:rsid w:val="008C5C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nualNumPar1Char">
    <w:name w:val="Manual NumPar 1 Char"/>
    <w:link w:val="ManualNumPar1"/>
    <w:rsid w:val="008C5CFA"/>
    <w:rPr>
      <w:sz w:val="24"/>
      <w:szCs w:val="24"/>
      <w:lang w:val="en-GB"/>
    </w:rPr>
  </w:style>
  <w:style w:type="character" w:styleId="PageNumber">
    <w:name w:val="page number"/>
    <w:rsid w:val="008C5CFA"/>
  </w:style>
  <w:style w:type="paragraph" w:styleId="BalloonText">
    <w:name w:val="Balloon Text"/>
    <w:basedOn w:val="Normal"/>
    <w:link w:val="BalloonTextChar"/>
    <w:rsid w:val="008C5CFA"/>
    <w:pPr>
      <w:spacing w:before="0" w:after="240"/>
      <w:jc w:val="left"/>
    </w:pPr>
    <w:rPr>
      <w:rFonts w:ascii="Tahoma" w:hAnsi="Tahoma" w:cs="Tahoma"/>
      <w:sz w:val="16"/>
      <w:szCs w:val="16"/>
    </w:rPr>
  </w:style>
  <w:style w:type="character" w:customStyle="1" w:styleId="BalloonTextChar">
    <w:name w:val="Balloon Text Char"/>
    <w:link w:val="BalloonText"/>
    <w:rsid w:val="008C5CFA"/>
    <w:rPr>
      <w:rFonts w:ascii="Tahoma" w:hAnsi="Tahoma" w:cs="Tahoma"/>
      <w:sz w:val="16"/>
      <w:szCs w:val="16"/>
      <w:shd w:val="clear" w:color="auto" w:fill="auto"/>
      <w:lang w:val="en-GB"/>
    </w:rPr>
  </w:style>
  <w:style w:type="paragraph" w:customStyle="1" w:styleId="StyleHeading3BoldNotItalic">
    <w:name w:val="Style Heading 3 + Bold Not Italic"/>
    <w:basedOn w:val="Heading3"/>
    <w:autoRedefine/>
    <w:rsid w:val="008C5CFA"/>
    <w:pPr>
      <w:numPr>
        <w:ilvl w:val="0"/>
        <w:numId w:val="0"/>
      </w:numPr>
      <w:spacing w:before="0" w:after="240"/>
      <w:ind w:left="720" w:hanging="720"/>
      <w:jc w:val="left"/>
    </w:pPr>
    <w:rPr>
      <w:rFonts w:ascii="Times New Roman Bold" w:hAnsi="Times New Roman Bold"/>
      <w:b/>
      <w:i w:val="0"/>
      <w:noProof/>
      <w:szCs w:val="20"/>
    </w:rPr>
  </w:style>
  <w:style w:type="character" w:styleId="CommentReference">
    <w:name w:val="annotation reference"/>
    <w:rsid w:val="008C5CFA"/>
    <w:rPr>
      <w:sz w:val="16"/>
      <w:szCs w:val="16"/>
    </w:rPr>
  </w:style>
  <w:style w:type="paragraph" w:styleId="CommentSubject">
    <w:name w:val="annotation subject"/>
    <w:basedOn w:val="CommentText"/>
    <w:next w:val="CommentText"/>
    <w:link w:val="CommentSubjectChar"/>
    <w:rsid w:val="008C5CFA"/>
    <w:rPr>
      <w:b/>
      <w:bCs/>
    </w:rPr>
  </w:style>
  <w:style w:type="character" w:customStyle="1" w:styleId="CommentSubjectChar">
    <w:name w:val="Comment Subject Char"/>
    <w:link w:val="CommentSubject"/>
    <w:rsid w:val="008C5CFA"/>
    <w:rPr>
      <w:b/>
      <w:bCs/>
      <w:shd w:val="clear" w:color="auto" w:fill="auto"/>
      <w:lang w:val="en-GB"/>
    </w:rPr>
  </w:style>
  <w:style w:type="paragraph" w:customStyle="1" w:styleId="Annextitle">
    <w:name w:val="Annex title"/>
    <w:basedOn w:val="Normal"/>
    <w:autoRedefine/>
    <w:rsid w:val="008C5CFA"/>
    <w:pPr>
      <w:spacing w:before="60" w:after="240"/>
      <w:jc w:val="left"/>
    </w:pPr>
    <w:rPr>
      <w:rFonts w:ascii="Times New Roman Bold" w:hAnsi="Times New Roman Bold"/>
      <w:iCs/>
      <w:smallCaps/>
      <w:lang w:eastAsia="en-GB"/>
    </w:rPr>
  </w:style>
  <w:style w:type="character" w:customStyle="1" w:styleId="FootnoteTextChar">
    <w:name w:val="Footnote Text Char"/>
    <w:link w:val="FootnoteText"/>
    <w:semiHidden/>
    <w:rsid w:val="008C5CFA"/>
    <w:rPr>
      <w:lang w:val="en-GB"/>
    </w:rPr>
  </w:style>
  <w:style w:type="paragraph" w:styleId="Revision">
    <w:name w:val="Revision"/>
    <w:hidden/>
    <w:uiPriority w:val="99"/>
    <w:semiHidden/>
    <w:rsid w:val="008C5CFA"/>
    <w:pPr>
      <w:spacing w:before="60" w:after="60"/>
    </w:pPr>
    <w:rPr>
      <w:sz w:val="24"/>
      <w:lang w:val="en-GB" w:eastAsia="en-US" w:bidi="ar-SA"/>
    </w:rPr>
  </w:style>
  <w:style w:type="character" w:styleId="EndnoteReference">
    <w:name w:val="endnote reference"/>
    <w:rsid w:val="008C5CFA"/>
    <w:rPr>
      <w:vertAlign w:val="superscript"/>
    </w:rPr>
  </w:style>
  <w:style w:type="paragraph" w:styleId="ListParagraph">
    <w:name w:val="List Paragraph"/>
    <w:basedOn w:val="Normal"/>
    <w:uiPriority w:val="34"/>
    <w:qFormat/>
    <w:rsid w:val="008C5CFA"/>
    <w:pPr>
      <w:spacing w:before="0" w:after="240"/>
      <w:ind w:left="720"/>
      <w:jc w:val="left"/>
    </w:pPr>
    <w:rPr>
      <w:szCs w:val="20"/>
    </w:rPr>
  </w:style>
  <w:style w:type="paragraph" w:customStyle="1" w:styleId="StyleHeading1Hanging085cm">
    <w:name w:val="Style Heading 1 + Hanging:  0.85 cm"/>
    <w:basedOn w:val="Heading1"/>
    <w:autoRedefine/>
    <w:rsid w:val="008C5CFA"/>
    <w:pPr>
      <w:numPr>
        <w:ilvl w:val="0"/>
        <w:numId w:val="0"/>
      </w:numPr>
      <w:spacing w:after="240"/>
      <w:jc w:val="left"/>
    </w:pPr>
    <w:rPr>
      <w:bCs w:val="0"/>
      <w:szCs w:val="24"/>
      <w:lang w:val="fr-BE"/>
    </w:rPr>
  </w:style>
  <w:style w:type="paragraph" w:customStyle="1" w:styleId="StyleHeading1Left0cm">
    <w:name w:val="Style Heading 1 + Left:  0 cm"/>
    <w:basedOn w:val="Heading1"/>
    <w:autoRedefine/>
    <w:rsid w:val="008C5CFA"/>
    <w:pPr>
      <w:numPr>
        <w:ilvl w:val="0"/>
        <w:numId w:val="31"/>
      </w:numPr>
      <w:spacing w:after="240"/>
      <w:jc w:val="left"/>
    </w:pPr>
    <w:rPr>
      <w:rFonts w:ascii="Times New Roman Bold" w:hAnsi="Times New Roman Bold"/>
      <w:bCs w:val="0"/>
      <w:szCs w:val="24"/>
      <w:lang w:val="fr-BE"/>
    </w:rPr>
  </w:style>
  <w:style w:type="character" w:customStyle="1" w:styleId="HeaderChar">
    <w:name w:val="Header Char"/>
    <w:link w:val="Header"/>
    <w:uiPriority w:val="99"/>
    <w:rsid w:val="008C5CFA"/>
    <w:rPr>
      <w:sz w:val="24"/>
      <w:szCs w:val="24"/>
      <w:lang w:val="en-GB"/>
    </w:rPr>
  </w:style>
  <w:style w:type="character" w:customStyle="1" w:styleId="FooterChar">
    <w:name w:val="Footer Char"/>
    <w:link w:val="Footer"/>
    <w:uiPriority w:val="99"/>
    <w:rsid w:val="008C5CFA"/>
    <w:rPr>
      <w:sz w:val="24"/>
      <w:szCs w:val="24"/>
      <w:lang w:val="en-GB"/>
    </w:rPr>
  </w:style>
  <w:style w:type="character" w:customStyle="1" w:styleId="CharacterStyle2">
    <w:name w:val="Character Style 2"/>
    <w:uiPriority w:val="99"/>
    <w:rsid w:val="008C5CFA"/>
    <w:rPr>
      <w:sz w:val="20"/>
      <w:szCs w:val="20"/>
    </w:rPr>
  </w:style>
  <w:style w:type="character" w:customStyle="1" w:styleId="Heading2Char">
    <w:name w:val="Heading 2 Char"/>
    <w:link w:val="Heading2"/>
    <w:rsid w:val="008C5CFA"/>
    <w:rPr>
      <w:b/>
      <w:bCs/>
      <w:iCs/>
      <w:sz w:val="24"/>
      <w:szCs w:val="28"/>
      <w:lang w:val="en-GB"/>
    </w:rPr>
  </w:style>
  <w:style w:type="paragraph" w:customStyle="1" w:styleId="Style1">
    <w:name w:val="Style1"/>
    <w:basedOn w:val="Text1"/>
    <w:link w:val="Style1Char"/>
    <w:qFormat/>
    <w:rsid w:val="008C5CFA"/>
    <w:pPr>
      <w:spacing w:before="60" w:after="60"/>
      <w:ind w:left="0"/>
      <w:jc w:val="left"/>
    </w:pPr>
  </w:style>
  <w:style w:type="character" w:customStyle="1" w:styleId="Style1Char">
    <w:name w:val="Style1 Char"/>
    <w:link w:val="Style1"/>
    <w:rsid w:val="008C5CFA"/>
  </w:style>
  <w:style w:type="paragraph" w:customStyle="1" w:styleId="Style2">
    <w:name w:val="Style2"/>
    <w:basedOn w:val="Text1"/>
    <w:link w:val="Style2Char"/>
    <w:qFormat/>
    <w:rsid w:val="008C5CFA"/>
    <w:pPr>
      <w:spacing w:before="60" w:after="60"/>
      <w:ind w:left="0"/>
      <w:jc w:val="left"/>
    </w:pPr>
  </w:style>
  <w:style w:type="character" w:customStyle="1" w:styleId="Style2Char">
    <w:name w:val="Style2 Char"/>
    <w:link w:val="Style2"/>
    <w:rsid w:val="008C5CFA"/>
  </w:style>
  <w:style w:type="character" w:customStyle="1" w:styleId="Heading3Char">
    <w:name w:val="Heading 3 Char"/>
    <w:link w:val="Heading3"/>
    <w:rsid w:val="008C5CFA"/>
    <w:rPr>
      <w:bCs/>
      <w:i/>
      <w:sz w:val="24"/>
      <w:szCs w:val="26"/>
      <w:lang w:val="en-GB"/>
    </w:rPr>
  </w:style>
  <w:style w:type="character" w:customStyle="1" w:styleId="Heading4Char">
    <w:name w:val="Heading 4 Char"/>
    <w:link w:val="Heading4"/>
    <w:rsid w:val="008C5CFA"/>
    <w:rPr>
      <w:bCs/>
      <w:sz w:val="24"/>
      <w:szCs w:val="28"/>
      <w:lang w:val="en-GB"/>
    </w:rPr>
  </w:style>
  <w:style w:type="character" w:styleId="Hyperlink">
    <w:name w:val="Hyperlink"/>
    <w:uiPriority w:val="99"/>
    <w:unhideWhenUsed/>
    <w:rsid w:val="00E61062"/>
    <w:rPr>
      <w:color w:val="0563C1"/>
      <w:u w:val="single"/>
      <w:shd w:val="clear" w:color="auto" w:fill="auto"/>
    </w:rPr>
  </w:style>
  <w:style w:type="character" w:customStyle="1" w:styleId="TOC1Char">
    <w:name w:val="TOC 1 Char"/>
    <w:link w:val="TOC1"/>
    <w:uiPriority w:val="39"/>
    <w:rsid w:val="00F66B1A"/>
    <w:rPr>
      <w:rFonts w:ascii="Times New Roman Bold" w:hAnsi="Times New Roman Bold"/>
      <w:b/>
      <w:bCs/>
      <w:caps/>
      <w:shd w:val="clear" w:color="auto" w:fill="auto"/>
      <w:lang w:val="en-GB"/>
    </w:rPr>
  </w:style>
  <w:style w:type="paragraph" w:customStyle="1" w:styleId="Style3">
    <w:name w:val="Style3"/>
    <w:basedOn w:val="Heading1"/>
    <w:qFormat/>
    <w:rsid w:val="009574BE"/>
  </w:style>
  <w:style w:type="paragraph" w:customStyle="1" w:styleId="Style4">
    <w:name w:val="Style4"/>
    <w:basedOn w:val="ManualHeading1"/>
    <w:qFormat/>
    <w:rsid w:val="009574BE"/>
    <w:pPr>
      <w:tabs>
        <w:tab w:val="left" w:pos="850"/>
      </w:tabs>
    </w:pPr>
  </w:style>
  <w:style w:type="paragraph" w:customStyle="1" w:styleId="Style5">
    <w:name w:val="Style5"/>
    <w:basedOn w:val="Text1"/>
    <w:link w:val="Style5Char"/>
    <w:qFormat/>
    <w:rsid w:val="009574BE"/>
    <w:pPr>
      <w:ind w:left="0"/>
    </w:pPr>
  </w:style>
  <w:style w:type="character" w:customStyle="1" w:styleId="Style5Char">
    <w:name w:val="Style5 Char"/>
    <w:link w:val="Style5"/>
    <w:rsid w:val="009574BE"/>
    <w:rPr>
      <w:sz w:val="24"/>
      <w:szCs w:val="24"/>
      <w:lang w:val="en-GB"/>
    </w:rPr>
  </w:style>
  <w:style w:type="paragraph" w:customStyle="1" w:styleId="Header0">
    <w:name w:val="Header_0"/>
    <w:basedOn w:val="Normal"/>
    <w:rsid w:val="005643CD"/>
    <w:pPr>
      <w:tabs>
        <w:tab w:val="center" w:pos="4535"/>
        <w:tab w:val="right" w:pos="9071"/>
      </w:tabs>
    </w:pPr>
  </w:style>
  <w:style w:type="paragraph" w:customStyle="1" w:styleId="Heading10">
    <w:name w:val="Heading 1_0"/>
    <w:basedOn w:val="Normal"/>
    <w:next w:val="Normal0"/>
    <w:qFormat/>
    <w:rsid w:val="005643CD"/>
    <w:pPr>
      <w:keepNext/>
      <w:numPr>
        <w:numId w:val="7"/>
      </w:numPr>
      <w:tabs>
        <w:tab w:val="num" w:pos="850"/>
      </w:tabs>
      <w:spacing w:before="360"/>
      <w:ind w:left="850" w:hanging="850"/>
      <w:outlineLvl w:val="0"/>
    </w:pPr>
    <w:rPr>
      <w:b/>
      <w:bCs/>
      <w:smallCaps/>
      <w:szCs w:val="32"/>
    </w:rPr>
  </w:style>
  <w:style w:type="paragraph" w:customStyle="1" w:styleId="Normal0">
    <w:name w:val="Normal_0"/>
    <w:qFormat/>
    <w:rsid w:val="005643CD"/>
    <w:pPr>
      <w:spacing w:before="120" w:after="120"/>
      <w:jc w:val="both"/>
    </w:pPr>
    <w:rPr>
      <w:sz w:val="24"/>
      <w:szCs w:val="24"/>
      <w:lang w:val="en-GB"/>
    </w:rPr>
  </w:style>
  <w:style w:type="paragraph" w:customStyle="1" w:styleId="ManualHeading20">
    <w:name w:val="Manual Heading 2_0"/>
    <w:basedOn w:val="Normal"/>
    <w:next w:val="Normal0"/>
    <w:rsid w:val="005643CD"/>
    <w:pPr>
      <w:keepNext/>
      <w:tabs>
        <w:tab w:val="left" w:pos="850"/>
      </w:tabs>
      <w:ind w:left="850" w:hanging="850"/>
      <w:outlineLvl w:val="1"/>
    </w:pPr>
    <w:rPr>
      <w:b/>
    </w:rPr>
  </w:style>
</w:styles>
</file>

<file path=word/webSettings.xml><?xml version="1.0" encoding="utf-8"?>
<w:webSettings xmlns:r="http://schemas.openxmlformats.org/officeDocument/2006/relationships" xmlns:w="http://schemas.openxmlformats.org/wordprocessingml/2006/main">
  <w:encoding w:val="windows-1252"/>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header" Target="header4.xml" /><Relationship Id="rId12" Type="http://schemas.openxmlformats.org/officeDocument/2006/relationships/footer" Target="foot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footer" Target="footer8.xml" /><Relationship Id="rId2" Type="http://schemas.openxmlformats.org/officeDocument/2006/relationships/webSettings" Target="webSettings.xml" /><Relationship Id="rId20" Type="http://schemas.openxmlformats.org/officeDocument/2006/relationships/footer" Target="footer9.xml" /><Relationship Id="rId21" Type="http://schemas.openxmlformats.org/officeDocument/2006/relationships/header" Target="header8.xml" /><Relationship Id="rId22" Type="http://schemas.openxmlformats.org/officeDocument/2006/relationships/footer" Target="footer10.xml" /><Relationship Id="rId23" Type="http://schemas.openxmlformats.org/officeDocument/2006/relationships/header" Target="header9.xml" /><Relationship Id="rId24" Type="http://schemas.openxmlformats.org/officeDocument/2006/relationships/footer" Target="footer11.xml" /><Relationship Id="rId25" Type="http://schemas.openxmlformats.org/officeDocument/2006/relationships/header" Target="header10.xml" /><Relationship Id="rId26" Type="http://schemas.openxmlformats.org/officeDocument/2006/relationships/footer" Target="footer12.xml" /><Relationship Id="rId27" Type="http://schemas.openxmlformats.org/officeDocument/2006/relationships/header" Target="header11.xml" /><Relationship Id="rId28" Type="http://schemas.openxmlformats.org/officeDocument/2006/relationships/footer" Target="footer13.xml" /><Relationship Id="rId29" Type="http://schemas.openxmlformats.org/officeDocument/2006/relationships/header" Target="header12.xml" /><Relationship Id="rId3" Type="http://schemas.openxmlformats.org/officeDocument/2006/relationships/fontTable" Target="fontTable.xml" /><Relationship Id="rId30" Type="http://schemas.openxmlformats.org/officeDocument/2006/relationships/footer" Target="footer14.xml" /><Relationship Id="rId31" Type="http://schemas.openxmlformats.org/officeDocument/2006/relationships/header" Target="header13.xml" /><Relationship Id="rId32" Type="http://schemas.openxmlformats.org/officeDocument/2006/relationships/footer" Target="footer15.xml" /><Relationship Id="rId33" Type="http://schemas.openxmlformats.org/officeDocument/2006/relationships/header" Target="header14.xml" /><Relationship Id="rId34" Type="http://schemas.openxmlformats.org/officeDocument/2006/relationships/footer" Target="footer16.xml" /><Relationship Id="rId35" Type="http://schemas.openxmlformats.org/officeDocument/2006/relationships/header" Target="header15.xml" /><Relationship Id="rId36" Type="http://schemas.openxmlformats.org/officeDocument/2006/relationships/footer" Target="footer17.xml" /><Relationship Id="rId37" Type="http://schemas.openxmlformats.org/officeDocument/2006/relationships/numbering" Target="numbering.xml" /><Relationship Id="rId38" Type="http://schemas.openxmlformats.org/officeDocument/2006/relationships/styles" Target="styles.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6A7F3-96B8-48E7-AA18-C3DFAC4C1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7977</TotalTime>
  <Pages>178</Pages>
  <Words>12710</Words>
  <Characters>72452</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2014</dc:creator>
  <cp:lastModifiedBy>SFC 2014</cp:lastModifiedBy>
  <cp:revision>222</cp:revision>
  <dcterms:created xsi:type="dcterms:W3CDTF">2020-09-22T08:11:32Z</dcterms:created>
  <dcterms:modified xsi:type="dcterms:W3CDTF">2020-09-22T08:11:32Z</dcterms:modified>
</cp:coreProperties>
</file>